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54E8F761" w:rsidR="00901197" w:rsidRPr="00DD6FA8" w:rsidRDefault="005F6617" w:rsidP="00162656">
      <w:pPr>
        <w:tabs>
          <w:tab w:val="left" w:pos="6663"/>
        </w:tabs>
        <w:spacing w:after="120"/>
        <w:jc w:val="center"/>
        <w:rPr>
          <w:rFonts w:ascii="Arial" w:hAnsi="Arial" w:cs="Arial"/>
          <w:sz w:val="28"/>
          <w:szCs w:val="28"/>
        </w:rPr>
      </w:pPr>
      <w:r>
        <w:rPr>
          <w:rFonts w:ascii="Arial" w:hAnsi="Arial" w:cs="Arial"/>
          <w:sz w:val="28"/>
          <w:szCs w:val="28"/>
        </w:rPr>
        <w:t>CORPORATE FINANCE</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78192A00" w:rsidR="00AE7148" w:rsidRPr="00DD6FA8" w:rsidRDefault="00EB6890" w:rsidP="00C750D1">
            <w:pPr>
              <w:spacing w:before="120" w:after="0" w:line="240" w:lineRule="auto"/>
              <w:rPr>
                <w:rFonts w:ascii="Arial" w:hAnsi="Arial" w:cs="Arial"/>
                <w:i/>
                <w:color w:val="000000"/>
                <w:sz w:val="18"/>
                <w:szCs w:val="18"/>
              </w:rPr>
            </w:pPr>
            <w:r>
              <w:rPr>
                <w:rFonts w:ascii="Arial" w:hAnsi="Arial" w:cs="Arial"/>
                <w:i/>
                <w:color w:val="000000"/>
                <w:sz w:val="18"/>
                <w:szCs w:val="18"/>
              </w:rPr>
              <w:t>FIN</w:t>
            </w:r>
            <w:r w:rsidR="00C750D1">
              <w:rPr>
                <w:rFonts w:ascii="Arial" w:hAnsi="Arial" w:cs="Arial"/>
                <w:i/>
                <w:color w:val="000000"/>
                <w:sz w:val="18"/>
                <w:szCs w:val="18"/>
              </w:rPr>
              <w:t>1</w:t>
            </w:r>
            <w:r w:rsidR="00BC37E2">
              <w:rPr>
                <w:rFonts w:ascii="Arial" w:hAnsi="Arial" w:cs="Arial"/>
                <w:i/>
                <w:color w:val="000000"/>
                <w:sz w:val="18"/>
                <w:szCs w:val="18"/>
              </w:rPr>
              <w:t>1</w:t>
            </w:r>
            <w:r w:rsidR="005F6617">
              <w:rPr>
                <w:rFonts w:ascii="Arial" w:hAnsi="Arial" w:cs="Arial"/>
                <w:i/>
                <w:color w:val="000000"/>
                <w:sz w:val="18"/>
                <w:szCs w:val="18"/>
              </w:rPr>
              <w:t>7</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477694E0" w:rsidR="00AE7148" w:rsidRPr="00A5390A" w:rsidRDefault="00A5390A" w:rsidP="001B4406">
            <w:pPr>
              <w:pStyle w:val="Parameters"/>
              <w:tabs>
                <w:tab w:val="clear" w:pos="4820"/>
              </w:tabs>
              <w:spacing w:before="120" w:after="0"/>
              <w:ind w:left="0" w:firstLine="0"/>
              <w:rPr>
                <w:rStyle w:val="Bolds"/>
                <w:rFonts w:ascii="Arial" w:hAnsi="Arial" w:cs="Arial"/>
                <w:b w:val="0"/>
                <w:i/>
                <w:sz w:val="18"/>
                <w:szCs w:val="18"/>
                <w:highlight w:val="yellow"/>
              </w:rPr>
            </w:pPr>
            <w:r w:rsidRPr="001B4406">
              <w:rPr>
                <w:rStyle w:val="Bolds"/>
                <w:rFonts w:ascii="Arial" w:hAnsi="Arial" w:cs="Arial"/>
                <w:b w:val="0"/>
                <w:i/>
                <w:sz w:val="18"/>
                <w:szCs w:val="18"/>
              </w:rPr>
              <w:t>Finance</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77BD49DE" w:rsidR="00F23989" w:rsidRPr="00DD6FA8" w:rsidRDefault="00BC37E2"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Asta Klimavičienė, PhD</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24D924B9" w:rsidR="00AE7148" w:rsidRPr="00DD6FA8" w:rsidRDefault="001B4406" w:rsidP="00BB3566">
            <w:pPr>
              <w:pStyle w:val="Parameters"/>
              <w:tabs>
                <w:tab w:val="clear" w:pos="4820"/>
              </w:tabs>
              <w:spacing w:before="120" w:after="0"/>
              <w:ind w:left="0" w:firstLine="0"/>
              <w:rPr>
                <w:rFonts w:ascii="Arial" w:hAnsi="Arial" w:cs="Arial"/>
                <w:i/>
                <w:iCs/>
                <w:sz w:val="18"/>
                <w:szCs w:val="18"/>
                <w:highlight w:val="yellow"/>
              </w:rPr>
            </w:pPr>
            <w:r w:rsidRPr="001B4406">
              <w:rPr>
                <w:rFonts w:ascii="Arial" w:hAnsi="Arial" w:cs="Arial"/>
                <w:i/>
                <w:iCs/>
                <w:sz w:val="18"/>
                <w:szCs w:val="18"/>
              </w:rPr>
              <w:t xml:space="preserve">Principles of </w:t>
            </w:r>
            <w:r w:rsidR="006F3C24">
              <w:rPr>
                <w:rFonts w:ascii="Arial" w:hAnsi="Arial" w:cs="Arial"/>
                <w:i/>
                <w:iCs/>
                <w:sz w:val="18"/>
                <w:szCs w:val="18"/>
              </w:rPr>
              <w:t>Finance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421237">
        <w:rPr>
          <w:rFonts w:ascii="Arial" w:hAnsi="Arial" w:cs="Arial"/>
          <w:b/>
          <w:sz w:val="18"/>
          <w:szCs w:val="18"/>
        </w:rPr>
        <w:t>THE AIM OF THE COURSE:</w:t>
      </w:r>
    </w:p>
    <w:p w14:paraId="02F0F685" w14:textId="77777777" w:rsidR="001B4406" w:rsidRDefault="001B4406" w:rsidP="00D700DA">
      <w:pPr>
        <w:spacing w:after="0" w:line="240" w:lineRule="auto"/>
        <w:jc w:val="both"/>
        <w:rPr>
          <w:rFonts w:ascii="Arial" w:hAnsi="Arial" w:cs="Arial"/>
          <w:sz w:val="18"/>
          <w:szCs w:val="18"/>
          <w:lang w:val="lt-LT"/>
        </w:rPr>
      </w:pPr>
    </w:p>
    <w:p w14:paraId="1ED88BD3" w14:textId="231BE21C" w:rsidR="00235DBD" w:rsidRPr="005D2DDD" w:rsidRDefault="00235DBD" w:rsidP="00235DBD">
      <w:pPr>
        <w:autoSpaceDE w:val="0"/>
        <w:autoSpaceDN w:val="0"/>
        <w:adjustRightInd w:val="0"/>
        <w:jc w:val="both"/>
        <w:rPr>
          <w:rFonts w:ascii="Arial" w:hAnsi="Arial" w:cs="Arial"/>
          <w:sz w:val="18"/>
          <w:lang w:val="en-GB"/>
        </w:rPr>
      </w:pPr>
      <w:r w:rsidRPr="005D2DDD">
        <w:rPr>
          <w:rFonts w:ascii="Arial" w:hAnsi="Arial" w:cs="Arial"/>
          <w:sz w:val="18"/>
          <w:lang w:val="en-GB"/>
        </w:rPr>
        <w:t>This course unit focuses on the fundamental concepts of corporate finance. It covers both theoretical and empirical aspects of capital investment decisions,</w:t>
      </w:r>
      <w:r w:rsidR="00B6210C">
        <w:rPr>
          <w:rFonts w:ascii="Arial" w:hAnsi="Arial" w:cs="Arial"/>
          <w:sz w:val="18"/>
          <w:lang w:val="en-GB"/>
        </w:rPr>
        <w:t xml:space="preserve"> </w:t>
      </w:r>
      <w:r w:rsidR="00B61BCF">
        <w:rPr>
          <w:rFonts w:ascii="Arial" w:hAnsi="Arial" w:cs="Arial"/>
          <w:sz w:val="18"/>
          <w:lang w:val="en-GB"/>
        </w:rPr>
        <w:t xml:space="preserve">determination of cost of capital, </w:t>
      </w:r>
      <w:r w:rsidR="00B6210C">
        <w:rPr>
          <w:rFonts w:ascii="Arial" w:hAnsi="Arial" w:cs="Arial"/>
          <w:sz w:val="18"/>
          <w:lang w:val="en-GB"/>
        </w:rPr>
        <w:t xml:space="preserve">valuation, </w:t>
      </w:r>
      <w:r w:rsidRPr="005D2DDD">
        <w:rPr>
          <w:rFonts w:ascii="Arial" w:hAnsi="Arial" w:cs="Arial"/>
          <w:sz w:val="18"/>
          <w:lang w:val="en-GB"/>
        </w:rPr>
        <w:t xml:space="preserve">and </w:t>
      </w:r>
      <w:r>
        <w:rPr>
          <w:rFonts w:ascii="Arial" w:hAnsi="Arial" w:cs="Arial"/>
          <w:sz w:val="18"/>
          <w:lang w:val="en-GB"/>
        </w:rPr>
        <w:t xml:space="preserve">short-term as well as long-term </w:t>
      </w:r>
      <w:r w:rsidRPr="005D2DDD">
        <w:rPr>
          <w:rFonts w:ascii="Arial" w:hAnsi="Arial" w:cs="Arial"/>
          <w:sz w:val="18"/>
          <w:lang w:val="en-GB"/>
        </w:rPr>
        <w:t>financing decisions. This course examines the financial goals of a corporation with an emphasis on value creation. This course aims to provide an understanding of main principles and practical skills necessary to analyse financial decisions made by companies, and to evaluate their impact on a company and its financial results.</w:t>
      </w:r>
    </w:p>
    <w:p w14:paraId="6CB35055" w14:textId="77777777" w:rsidR="001839B4" w:rsidRPr="00DD6FA8" w:rsidRDefault="001839B4"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284063">
        <w:rPr>
          <w:rFonts w:ascii="Arial" w:hAnsi="Arial" w:cs="Arial"/>
          <w:b/>
          <w:sz w:val="18"/>
          <w:szCs w:val="18"/>
        </w:rPr>
        <w:t xml:space="preserve">MAPPING OF </w:t>
      </w:r>
      <w:r w:rsidR="00901197" w:rsidRPr="00284063">
        <w:rPr>
          <w:rFonts w:ascii="Arial" w:hAnsi="Arial" w:cs="Arial"/>
          <w:b/>
          <w:sz w:val="18"/>
          <w:szCs w:val="18"/>
        </w:rPr>
        <w:t>COURSE LEVEL LEARNING OUTCOMES (OBJECTIVES)</w:t>
      </w:r>
      <w:r w:rsidRPr="00284063">
        <w:rPr>
          <w:rFonts w:ascii="Arial" w:hAnsi="Arial" w:cs="Arial"/>
          <w:b/>
          <w:sz w:val="18"/>
          <w:szCs w:val="18"/>
        </w:rPr>
        <w:t xml:space="preserve"> WITH </w:t>
      </w:r>
      <w:r w:rsidR="0073580A" w:rsidRPr="00284063">
        <w:rPr>
          <w:rFonts w:ascii="Arial" w:hAnsi="Arial" w:cs="Arial"/>
          <w:b/>
          <w:sz w:val="18"/>
          <w:szCs w:val="18"/>
        </w:rPr>
        <w:t>DEGREE</w:t>
      </w:r>
      <w:r w:rsidR="001B338B" w:rsidRPr="00284063">
        <w:rPr>
          <w:rFonts w:ascii="Arial" w:hAnsi="Arial" w:cs="Arial"/>
          <w:b/>
          <w:sz w:val="18"/>
          <w:szCs w:val="18"/>
        </w:rPr>
        <w:t xml:space="preserve"> LEVEL LEARNING </w:t>
      </w:r>
      <w:r w:rsidR="0073580A" w:rsidRPr="00284063">
        <w:rPr>
          <w:rFonts w:ascii="Arial" w:hAnsi="Arial" w:cs="Arial"/>
          <w:b/>
          <w:sz w:val="18"/>
          <w:szCs w:val="18"/>
        </w:rPr>
        <w:t>OBJECTIVES</w:t>
      </w:r>
      <w:r w:rsidR="001B338B" w:rsidRPr="00284063">
        <w:rPr>
          <w:rFonts w:ascii="Arial" w:hAnsi="Arial" w:cs="Arial"/>
          <w:b/>
          <w:sz w:val="18"/>
          <w:szCs w:val="18"/>
        </w:rPr>
        <w:t xml:space="preserve"> (See Annex)</w:t>
      </w:r>
      <w:r w:rsidR="00A41EFE" w:rsidRPr="00284063">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1843"/>
        <w:gridCol w:w="1559"/>
        <w:gridCol w:w="1887"/>
      </w:tblGrid>
      <w:tr w:rsidR="0044217A" w:rsidRPr="00DD6FA8" w14:paraId="54B8549F" w14:textId="77777777" w:rsidTr="0046304C">
        <w:trPr>
          <w:trHeight w:val="661"/>
        </w:trPr>
        <w:tc>
          <w:tcPr>
            <w:tcW w:w="4673" w:type="dxa"/>
            <w:shd w:val="clear" w:color="auto" w:fill="auto"/>
          </w:tcPr>
          <w:p w14:paraId="0754BFCE" w14:textId="274B2BB6" w:rsidR="0044217A" w:rsidRPr="00DD6FA8" w:rsidRDefault="0044217A"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1843" w:type="dxa"/>
            <w:shd w:val="clear" w:color="auto" w:fill="auto"/>
          </w:tcPr>
          <w:p w14:paraId="594EF29D" w14:textId="236FC28E" w:rsidR="0044217A" w:rsidRPr="00DD6FA8" w:rsidRDefault="0044217A" w:rsidP="001B4406">
            <w:pPr>
              <w:pStyle w:val="Head"/>
              <w:spacing w:before="120" w:after="0"/>
              <w:jc w:val="left"/>
              <w:rPr>
                <w:rFonts w:ascii="Arial" w:hAnsi="Arial" w:cs="Arial"/>
                <w:sz w:val="18"/>
                <w:szCs w:val="18"/>
              </w:rPr>
            </w:pPr>
            <w:r w:rsidRPr="001B4406">
              <w:rPr>
                <w:rFonts w:ascii="Arial" w:hAnsi="Arial" w:cs="Arial"/>
                <w:sz w:val="18"/>
                <w:szCs w:val="18"/>
              </w:rPr>
              <w:t xml:space="preserve">Degree level learning objectives, BMM </w:t>
            </w:r>
          </w:p>
        </w:tc>
        <w:tc>
          <w:tcPr>
            <w:tcW w:w="1559" w:type="dxa"/>
          </w:tcPr>
          <w:p w14:paraId="6F8A4DCC" w14:textId="26AE3605" w:rsidR="0044217A" w:rsidRPr="00DD6FA8" w:rsidRDefault="0044217A"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887" w:type="dxa"/>
            <w:shd w:val="clear" w:color="auto" w:fill="auto"/>
          </w:tcPr>
          <w:p w14:paraId="44BE5464" w14:textId="6A162B5C" w:rsidR="0044217A" w:rsidRPr="00DD6FA8" w:rsidRDefault="0044217A"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B42447" w:rsidRPr="00DD6FA8" w14:paraId="5435B211" w14:textId="77777777" w:rsidTr="0046304C">
        <w:trPr>
          <w:trHeight w:val="414"/>
        </w:trPr>
        <w:tc>
          <w:tcPr>
            <w:tcW w:w="4673" w:type="dxa"/>
            <w:vAlign w:val="center"/>
          </w:tcPr>
          <w:p w14:paraId="00E659AB" w14:textId="1F250EAE" w:rsidR="00B42447" w:rsidRPr="0044217A" w:rsidRDefault="00BC2406" w:rsidP="002A49D0">
            <w:pPr>
              <w:widowControl w:val="0"/>
              <w:spacing w:before="120" w:after="0"/>
              <w:rPr>
                <w:rFonts w:ascii="Arial" w:hAnsi="Arial" w:cs="Arial"/>
                <w:bCs/>
                <w:sz w:val="18"/>
                <w:szCs w:val="18"/>
              </w:rPr>
            </w:pPr>
            <w:r>
              <w:rPr>
                <w:rFonts w:ascii="Arial" w:hAnsi="Arial" w:cs="Arial"/>
                <w:bCs/>
                <w:sz w:val="18"/>
                <w:lang w:val="en-GB"/>
              </w:rPr>
              <w:t>C</w:t>
            </w:r>
            <w:r w:rsidR="00B42447" w:rsidRPr="0044217A">
              <w:rPr>
                <w:rFonts w:ascii="Arial" w:hAnsi="Arial" w:cs="Arial"/>
                <w:bCs/>
                <w:sz w:val="18"/>
                <w:lang w:val="en-GB"/>
              </w:rPr>
              <w:t xml:space="preserve">LO1. Analyse and evaluate </w:t>
            </w:r>
            <w:proofErr w:type="gramStart"/>
            <w:r w:rsidR="00B42447" w:rsidRPr="0044217A">
              <w:rPr>
                <w:rFonts w:ascii="Arial" w:hAnsi="Arial" w:cs="Arial"/>
                <w:bCs/>
                <w:sz w:val="18"/>
                <w:lang w:val="en-GB"/>
              </w:rPr>
              <w:t>company‘</w:t>
            </w:r>
            <w:proofErr w:type="gramEnd"/>
            <w:r w:rsidR="00B42447" w:rsidRPr="0044217A">
              <w:rPr>
                <w:rFonts w:ascii="Arial" w:hAnsi="Arial" w:cs="Arial"/>
                <w:bCs/>
                <w:sz w:val="18"/>
                <w:lang w:val="en-GB"/>
              </w:rPr>
              <w:t>s activities and financial condition from financial statements (balance sheet, income statement, cash flow statement);</w:t>
            </w:r>
          </w:p>
        </w:tc>
        <w:tc>
          <w:tcPr>
            <w:tcW w:w="1843" w:type="dxa"/>
            <w:shd w:val="clear" w:color="auto" w:fill="auto"/>
          </w:tcPr>
          <w:p w14:paraId="200AAE25" w14:textId="77777777" w:rsidR="00B42447" w:rsidRDefault="00B42447" w:rsidP="002A49D0">
            <w:pPr>
              <w:widowControl w:val="0"/>
              <w:spacing w:before="120" w:after="0"/>
              <w:rPr>
                <w:rFonts w:ascii="Arial" w:hAnsi="Arial" w:cs="Arial"/>
                <w:sz w:val="18"/>
                <w:szCs w:val="18"/>
              </w:rPr>
            </w:pPr>
            <w:r>
              <w:rPr>
                <w:rFonts w:ascii="Arial" w:hAnsi="Arial" w:cs="Arial"/>
                <w:sz w:val="18"/>
                <w:szCs w:val="18"/>
              </w:rPr>
              <w:t>BLO1.1,</w:t>
            </w:r>
          </w:p>
          <w:p w14:paraId="54C77DAF" w14:textId="77777777" w:rsidR="00B42447" w:rsidRPr="00DD6FA8" w:rsidRDefault="00B42447" w:rsidP="002A49D0">
            <w:pPr>
              <w:widowControl w:val="0"/>
              <w:spacing w:before="120" w:after="0"/>
              <w:rPr>
                <w:rFonts w:ascii="Arial" w:hAnsi="Arial" w:cs="Arial"/>
                <w:sz w:val="18"/>
                <w:szCs w:val="18"/>
              </w:rPr>
            </w:pPr>
            <w:r>
              <w:rPr>
                <w:rFonts w:ascii="Arial" w:hAnsi="Arial" w:cs="Arial"/>
                <w:sz w:val="18"/>
                <w:szCs w:val="18"/>
              </w:rPr>
              <w:t xml:space="preserve">BLO1.2 </w:t>
            </w:r>
          </w:p>
        </w:tc>
        <w:tc>
          <w:tcPr>
            <w:tcW w:w="1559" w:type="dxa"/>
            <w:vAlign w:val="center"/>
          </w:tcPr>
          <w:p w14:paraId="042D896B"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Midterm test, coursework</w:t>
            </w:r>
          </w:p>
        </w:tc>
        <w:tc>
          <w:tcPr>
            <w:tcW w:w="1887" w:type="dxa"/>
            <w:vAlign w:val="center"/>
          </w:tcPr>
          <w:p w14:paraId="61FD79C7"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Lectures, seminars, individual study, self-study in groups</w:t>
            </w:r>
          </w:p>
        </w:tc>
      </w:tr>
      <w:tr w:rsidR="00B42447" w:rsidRPr="00DD6FA8" w14:paraId="7FB566A1" w14:textId="77777777" w:rsidTr="0046304C">
        <w:trPr>
          <w:trHeight w:val="414"/>
        </w:trPr>
        <w:tc>
          <w:tcPr>
            <w:tcW w:w="4673" w:type="dxa"/>
            <w:vAlign w:val="center"/>
          </w:tcPr>
          <w:p w14:paraId="7C12C253" w14:textId="7FE325FF" w:rsidR="00B42447" w:rsidRPr="0044217A" w:rsidRDefault="00BC2406" w:rsidP="002A49D0">
            <w:pPr>
              <w:widowControl w:val="0"/>
              <w:spacing w:before="120" w:after="0"/>
              <w:rPr>
                <w:rFonts w:ascii="Arial" w:hAnsi="Arial" w:cs="Arial"/>
                <w:bCs/>
                <w:sz w:val="18"/>
                <w:szCs w:val="18"/>
              </w:rPr>
            </w:pPr>
            <w:r>
              <w:rPr>
                <w:rFonts w:ascii="Arial" w:hAnsi="Arial" w:cs="Arial"/>
                <w:bCs/>
                <w:sz w:val="18"/>
                <w:lang w:val="en-GB"/>
              </w:rPr>
              <w:t>C</w:t>
            </w:r>
            <w:r w:rsidR="00B42447" w:rsidRPr="0044217A">
              <w:rPr>
                <w:rFonts w:ascii="Arial" w:hAnsi="Arial" w:cs="Arial"/>
                <w:bCs/>
                <w:sz w:val="18"/>
                <w:lang w:val="en-GB"/>
              </w:rPr>
              <w:t>LO</w:t>
            </w:r>
            <w:r w:rsidR="004F7471">
              <w:rPr>
                <w:rFonts w:ascii="Arial" w:hAnsi="Arial" w:cs="Arial"/>
                <w:bCs/>
                <w:sz w:val="18"/>
                <w:lang w:val="en-GB"/>
              </w:rPr>
              <w:t>2</w:t>
            </w:r>
            <w:r w:rsidR="00B42447" w:rsidRPr="0044217A">
              <w:rPr>
                <w:rFonts w:ascii="Arial" w:hAnsi="Arial" w:cs="Arial"/>
                <w:bCs/>
                <w:sz w:val="18"/>
                <w:lang w:val="en-GB"/>
              </w:rPr>
              <w:t>. Evaluate investment projects using different methods: NPV (net present value) and its alternatives (IRR, payback method, profitability index);</w:t>
            </w:r>
          </w:p>
        </w:tc>
        <w:tc>
          <w:tcPr>
            <w:tcW w:w="1843" w:type="dxa"/>
            <w:shd w:val="clear" w:color="auto" w:fill="auto"/>
          </w:tcPr>
          <w:p w14:paraId="76B5F24B" w14:textId="77777777" w:rsidR="00B42447" w:rsidRPr="00DD6FA8" w:rsidRDefault="00B42447" w:rsidP="002A49D0">
            <w:pPr>
              <w:widowControl w:val="0"/>
              <w:spacing w:before="120" w:after="0"/>
              <w:rPr>
                <w:rFonts w:ascii="Arial" w:hAnsi="Arial" w:cs="Arial"/>
                <w:sz w:val="18"/>
                <w:szCs w:val="18"/>
              </w:rPr>
            </w:pPr>
            <w:r>
              <w:rPr>
                <w:rFonts w:ascii="Arial" w:hAnsi="Arial" w:cs="Arial"/>
                <w:sz w:val="18"/>
                <w:szCs w:val="18"/>
              </w:rPr>
              <w:t xml:space="preserve">BLO1.1 </w:t>
            </w:r>
          </w:p>
        </w:tc>
        <w:tc>
          <w:tcPr>
            <w:tcW w:w="1559" w:type="dxa"/>
            <w:vAlign w:val="center"/>
          </w:tcPr>
          <w:p w14:paraId="3D1D2919" w14:textId="47447D67" w:rsidR="00B42447" w:rsidRPr="0044217A" w:rsidRDefault="004F7471" w:rsidP="002A49D0">
            <w:pPr>
              <w:widowControl w:val="0"/>
              <w:spacing w:before="120" w:after="0"/>
              <w:rPr>
                <w:rFonts w:ascii="Arial" w:hAnsi="Arial" w:cs="Arial"/>
                <w:bCs/>
                <w:sz w:val="18"/>
                <w:szCs w:val="18"/>
              </w:rPr>
            </w:pPr>
            <w:r>
              <w:rPr>
                <w:rFonts w:ascii="Arial" w:hAnsi="Arial" w:cs="Arial"/>
                <w:bCs/>
                <w:sz w:val="18"/>
                <w:lang w:val="en-GB"/>
              </w:rPr>
              <w:t>Midterm</w:t>
            </w:r>
            <w:r w:rsidR="00B42447" w:rsidRPr="0044217A">
              <w:rPr>
                <w:rFonts w:ascii="Arial" w:hAnsi="Arial" w:cs="Arial"/>
                <w:bCs/>
                <w:sz w:val="18"/>
                <w:lang w:val="en-GB"/>
              </w:rPr>
              <w:t xml:space="preserve"> </w:t>
            </w:r>
            <w:r>
              <w:rPr>
                <w:rFonts w:ascii="Arial" w:hAnsi="Arial" w:cs="Arial"/>
                <w:bCs/>
                <w:sz w:val="18"/>
                <w:lang w:val="en-GB"/>
              </w:rPr>
              <w:t>test</w:t>
            </w:r>
          </w:p>
        </w:tc>
        <w:tc>
          <w:tcPr>
            <w:tcW w:w="1887" w:type="dxa"/>
            <w:vAlign w:val="center"/>
          </w:tcPr>
          <w:p w14:paraId="22BE75AE"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Lectures, seminars, solving exercises, self-study</w:t>
            </w:r>
          </w:p>
        </w:tc>
      </w:tr>
      <w:tr w:rsidR="00B42447" w:rsidRPr="00DD6FA8" w14:paraId="61013D65" w14:textId="77777777" w:rsidTr="0046304C">
        <w:trPr>
          <w:trHeight w:val="414"/>
        </w:trPr>
        <w:tc>
          <w:tcPr>
            <w:tcW w:w="4673" w:type="dxa"/>
            <w:vAlign w:val="center"/>
          </w:tcPr>
          <w:p w14:paraId="6D2F2732" w14:textId="4C49C24D" w:rsidR="00B42447" w:rsidRPr="0044217A" w:rsidRDefault="00BC2406" w:rsidP="002A49D0">
            <w:pPr>
              <w:widowControl w:val="0"/>
              <w:spacing w:before="120" w:after="0"/>
              <w:rPr>
                <w:rFonts w:ascii="Arial" w:hAnsi="Arial" w:cs="Arial"/>
                <w:bCs/>
                <w:sz w:val="18"/>
                <w:szCs w:val="18"/>
              </w:rPr>
            </w:pPr>
            <w:r>
              <w:rPr>
                <w:rFonts w:ascii="Arial" w:hAnsi="Arial" w:cs="Arial"/>
                <w:bCs/>
                <w:sz w:val="18"/>
                <w:lang w:val="en-GB"/>
              </w:rPr>
              <w:t>C</w:t>
            </w:r>
            <w:r w:rsidR="00B42447" w:rsidRPr="0044217A">
              <w:rPr>
                <w:rFonts w:ascii="Arial" w:hAnsi="Arial" w:cs="Arial"/>
                <w:bCs/>
                <w:sz w:val="18"/>
                <w:lang w:val="en-GB"/>
              </w:rPr>
              <w:t>LO</w:t>
            </w:r>
            <w:r w:rsidR="004F7471">
              <w:rPr>
                <w:rFonts w:ascii="Arial" w:hAnsi="Arial" w:cs="Arial"/>
                <w:bCs/>
                <w:sz w:val="18"/>
                <w:lang w:val="en-GB"/>
              </w:rPr>
              <w:t>3</w:t>
            </w:r>
            <w:r w:rsidR="00B42447" w:rsidRPr="0044217A">
              <w:rPr>
                <w:rFonts w:ascii="Arial" w:hAnsi="Arial" w:cs="Arial"/>
                <w:bCs/>
                <w:sz w:val="18"/>
                <w:lang w:val="en-GB"/>
              </w:rPr>
              <w:t>. Evaluate and compare different methods of long- and short-term financing;</w:t>
            </w:r>
          </w:p>
        </w:tc>
        <w:tc>
          <w:tcPr>
            <w:tcW w:w="1843" w:type="dxa"/>
            <w:shd w:val="clear" w:color="auto" w:fill="auto"/>
          </w:tcPr>
          <w:p w14:paraId="44FF9AFB" w14:textId="77777777" w:rsidR="00B42447" w:rsidRPr="00DD6FA8" w:rsidRDefault="00B42447" w:rsidP="002A49D0">
            <w:pPr>
              <w:widowControl w:val="0"/>
              <w:spacing w:before="120" w:after="0"/>
              <w:rPr>
                <w:rFonts w:ascii="Arial" w:hAnsi="Arial" w:cs="Arial"/>
                <w:sz w:val="18"/>
                <w:szCs w:val="18"/>
              </w:rPr>
            </w:pPr>
            <w:r>
              <w:rPr>
                <w:rFonts w:ascii="Arial" w:hAnsi="Arial" w:cs="Arial"/>
                <w:sz w:val="18"/>
                <w:szCs w:val="18"/>
              </w:rPr>
              <w:t xml:space="preserve">BLO1.1  </w:t>
            </w:r>
          </w:p>
        </w:tc>
        <w:tc>
          <w:tcPr>
            <w:tcW w:w="1559" w:type="dxa"/>
            <w:vAlign w:val="center"/>
          </w:tcPr>
          <w:p w14:paraId="1CE965BA" w14:textId="66C41E01" w:rsidR="00B42447" w:rsidRPr="0044217A" w:rsidRDefault="004F7471" w:rsidP="002A49D0">
            <w:pPr>
              <w:widowControl w:val="0"/>
              <w:spacing w:before="120" w:after="0"/>
              <w:rPr>
                <w:rFonts w:ascii="Arial" w:hAnsi="Arial" w:cs="Arial"/>
                <w:bCs/>
                <w:sz w:val="18"/>
                <w:szCs w:val="18"/>
              </w:rPr>
            </w:pPr>
            <w:r>
              <w:rPr>
                <w:rFonts w:ascii="Arial" w:hAnsi="Arial" w:cs="Arial"/>
                <w:bCs/>
                <w:sz w:val="18"/>
                <w:lang w:val="en-GB"/>
              </w:rPr>
              <w:t>Midterm</w:t>
            </w:r>
            <w:r w:rsidR="00B42447" w:rsidRPr="0044217A">
              <w:rPr>
                <w:rFonts w:ascii="Arial" w:hAnsi="Arial" w:cs="Arial"/>
                <w:bCs/>
                <w:sz w:val="18"/>
                <w:lang w:val="en-GB"/>
              </w:rPr>
              <w:t xml:space="preserve"> </w:t>
            </w:r>
            <w:r>
              <w:rPr>
                <w:rFonts w:ascii="Arial" w:hAnsi="Arial" w:cs="Arial"/>
                <w:bCs/>
                <w:sz w:val="18"/>
                <w:lang w:val="en-GB"/>
              </w:rPr>
              <w:t>test, final exam</w:t>
            </w:r>
          </w:p>
        </w:tc>
        <w:tc>
          <w:tcPr>
            <w:tcW w:w="1887" w:type="dxa"/>
            <w:vAlign w:val="center"/>
          </w:tcPr>
          <w:p w14:paraId="40F0628B" w14:textId="77777777" w:rsidR="00B42447" w:rsidRPr="0044217A" w:rsidRDefault="00B42447" w:rsidP="002A49D0">
            <w:pPr>
              <w:widowControl w:val="0"/>
              <w:spacing w:before="120" w:after="0"/>
              <w:rPr>
                <w:rFonts w:ascii="Arial" w:hAnsi="Arial" w:cs="Arial"/>
                <w:bCs/>
                <w:sz w:val="18"/>
                <w:szCs w:val="18"/>
              </w:rPr>
            </w:pPr>
            <w:r w:rsidRPr="0044217A">
              <w:rPr>
                <w:rFonts w:ascii="Arial" w:hAnsi="Arial" w:cs="Arial"/>
                <w:bCs/>
                <w:sz w:val="18"/>
                <w:lang w:val="en-GB"/>
              </w:rPr>
              <w:t>Lectures, seminars, self-study</w:t>
            </w:r>
          </w:p>
        </w:tc>
      </w:tr>
      <w:tr w:rsidR="00060E69" w:rsidRPr="00DD6FA8" w14:paraId="6F7EF77F" w14:textId="77777777" w:rsidTr="0046304C">
        <w:trPr>
          <w:trHeight w:val="414"/>
        </w:trPr>
        <w:tc>
          <w:tcPr>
            <w:tcW w:w="4673" w:type="dxa"/>
            <w:vAlign w:val="center"/>
          </w:tcPr>
          <w:p w14:paraId="3E933EDD" w14:textId="2BD44F9B" w:rsidR="00060E69" w:rsidRPr="00060E69" w:rsidRDefault="00BC2406" w:rsidP="00060E69">
            <w:pPr>
              <w:widowControl w:val="0"/>
              <w:spacing w:before="120" w:after="0"/>
              <w:rPr>
                <w:rFonts w:ascii="Arial" w:hAnsi="Arial" w:cs="Arial"/>
                <w:bCs/>
                <w:sz w:val="18"/>
                <w:szCs w:val="18"/>
              </w:rPr>
            </w:pPr>
            <w:r>
              <w:rPr>
                <w:rFonts w:ascii="Arial" w:hAnsi="Arial" w:cs="Arial"/>
                <w:bCs/>
                <w:sz w:val="18"/>
                <w:lang w:val="en-GB"/>
              </w:rPr>
              <w:t>C</w:t>
            </w:r>
            <w:r w:rsidR="00060E69" w:rsidRPr="00060E69">
              <w:rPr>
                <w:rFonts w:ascii="Arial" w:hAnsi="Arial" w:cs="Arial"/>
                <w:bCs/>
                <w:sz w:val="18"/>
                <w:lang w:val="en-GB"/>
              </w:rPr>
              <w:t>LO</w:t>
            </w:r>
            <w:r w:rsidR="00755D75">
              <w:rPr>
                <w:rFonts w:ascii="Arial" w:hAnsi="Arial" w:cs="Arial"/>
                <w:bCs/>
                <w:sz w:val="18"/>
                <w:lang w:val="en-GB"/>
              </w:rPr>
              <w:t>4</w:t>
            </w:r>
            <w:r w:rsidR="00060E69" w:rsidRPr="00060E69">
              <w:rPr>
                <w:rFonts w:ascii="Arial" w:hAnsi="Arial" w:cs="Arial"/>
                <w:bCs/>
                <w:sz w:val="18"/>
                <w:lang w:val="en-GB"/>
              </w:rPr>
              <w:t>.</w:t>
            </w:r>
            <w:r w:rsidR="00060E69" w:rsidRPr="00060E69">
              <w:rPr>
                <w:rFonts w:ascii="Arial" w:hAnsi="Arial" w:cs="Arial"/>
                <w:bCs/>
                <w:color w:val="000000"/>
                <w:sz w:val="18"/>
                <w:lang w:val="en-GB"/>
              </w:rPr>
              <w:t xml:space="preserve"> Calculate weighted average cost of capital (WACC) of a corporation, to take taxes into account.</w:t>
            </w:r>
          </w:p>
        </w:tc>
        <w:tc>
          <w:tcPr>
            <w:tcW w:w="1843" w:type="dxa"/>
            <w:shd w:val="clear" w:color="auto" w:fill="auto"/>
          </w:tcPr>
          <w:p w14:paraId="31DF7BBA" w14:textId="150BF1A9" w:rsidR="00060E69" w:rsidRPr="00DD6FA8" w:rsidRDefault="00060E69" w:rsidP="00060E69">
            <w:pPr>
              <w:widowControl w:val="0"/>
              <w:spacing w:before="120" w:after="0"/>
              <w:rPr>
                <w:rFonts w:ascii="Arial" w:hAnsi="Arial" w:cs="Arial"/>
                <w:sz w:val="18"/>
                <w:szCs w:val="18"/>
              </w:rPr>
            </w:pPr>
            <w:r>
              <w:rPr>
                <w:rFonts w:ascii="Arial" w:hAnsi="Arial" w:cs="Arial"/>
                <w:sz w:val="18"/>
                <w:szCs w:val="18"/>
              </w:rPr>
              <w:t>BLO1.1</w:t>
            </w:r>
          </w:p>
        </w:tc>
        <w:tc>
          <w:tcPr>
            <w:tcW w:w="1559" w:type="dxa"/>
            <w:vAlign w:val="center"/>
          </w:tcPr>
          <w:p w14:paraId="11A6BDA5" w14:textId="0442B952" w:rsidR="00060E69" w:rsidRPr="00060E69" w:rsidRDefault="00071DE8" w:rsidP="00060E69">
            <w:pPr>
              <w:widowControl w:val="0"/>
              <w:spacing w:before="120" w:after="0"/>
              <w:rPr>
                <w:rFonts w:ascii="Arial" w:hAnsi="Arial" w:cs="Arial"/>
                <w:bCs/>
                <w:sz w:val="18"/>
                <w:szCs w:val="18"/>
              </w:rPr>
            </w:pPr>
            <w:r>
              <w:rPr>
                <w:rFonts w:ascii="Arial" w:hAnsi="Arial" w:cs="Arial"/>
                <w:bCs/>
                <w:sz w:val="18"/>
                <w:lang w:val="en-GB"/>
              </w:rPr>
              <w:t>Final exam</w:t>
            </w:r>
            <w:r w:rsidR="00060E69" w:rsidRPr="00060E69">
              <w:rPr>
                <w:rFonts w:ascii="Arial" w:hAnsi="Arial" w:cs="Arial"/>
                <w:bCs/>
                <w:sz w:val="18"/>
                <w:lang w:val="en-GB"/>
              </w:rPr>
              <w:t>, coursework</w:t>
            </w:r>
          </w:p>
        </w:tc>
        <w:tc>
          <w:tcPr>
            <w:tcW w:w="1887" w:type="dxa"/>
            <w:vAlign w:val="center"/>
          </w:tcPr>
          <w:p w14:paraId="659A676F" w14:textId="4F67B1C0" w:rsidR="00060E69" w:rsidRPr="00060E69" w:rsidRDefault="00060E69" w:rsidP="00060E69">
            <w:pPr>
              <w:widowControl w:val="0"/>
              <w:spacing w:before="120" w:after="0"/>
              <w:rPr>
                <w:rFonts w:ascii="Arial" w:hAnsi="Arial" w:cs="Arial"/>
                <w:bCs/>
                <w:sz w:val="18"/>
                <w:szCs w:val="18"/>
              </w:rPr>
            </w:pPr>
            <w:r w:rsidRPr="00060E69">
              <w:rPr>
                <w:rFonts w:ascii="Arial" w:hAnsi="Arial" w:cs="Arial"/>
                <w:bCs/>
                <w:sz w:val="18"/>
                <w:lang w:val="en-GB"/>
              </w:rPr>
              <w:t>Lectures, seminars, individual study</w:t>
            </w:r>
          </w:p>
        </w:tc>
      </w:tr>
      <w:tr w:rsidR="00060E69" w:rsidRPr="00DD6FA8" w14:paraId="23E108A9" w14:textId="77777777" w:rsidTr="0046304C">
        <w:trPr>
          <w:trHeight w:val="414"/>
        </w:trPr>
        <w:tc>
          <w:tcPr>
            <w:tcW w:w="4673" w:type="dxa"/>
            <w:vAlign w:val="center"/>
          </w:tcPr>
          <w:p w14:paraId="39B0DB7D" w14:textId="65E69CA9" w:rsidR="00060E69" w:rsidRPr="00060E69" w:rsidRDefault="00BC2406" w:rsidP="00060E69">
            <w:pPr>
              <w:widowControl w:val="0"/>
              <w:spacing w:before="120" w:after="0"/>
              <w:rPr>
                <w:rFonts w:ascii="Arial" w:hAnsi="Arial" w:cs="Arial"/>
                <w:bCs/>
                <w:sz w:val="18"/>
                <w:szCs w:val="18"/>
              </w:rPr>
            </w:pPr>
            <w:r>
              <w:rPr>
                <w:rFonts w:ascii="Arial" w:hAnsi="Arial" w:cs="Arial"/>
                <w:bCs/>
                <w:sz w:val="18"/>
                <w:lang w:val="en-GB"/>
              </w:rPr>
              <w:t>C</w:t>
            </w:r>
            <w:r w:rsidR="00060E69" w:rsidRPr="00060E69">
              <w:rPr>
                <w:rFonts w:ascii="Arial" w:hAnsi="Arial" w:cs="Arial"/>
                <w:bCs/>
                <w:sz w:val="18"/>
                <w:lang w:val="en-GB"/>
              </w:rPr>
              <w:t>LO</w:t>
            </w:r>
            <w:r w:rsidR="00755D75">
              <w:rPr>
                <w:rFonts w:ascii="Arial" w:hAnsi="Arial" w:cs="Arial"/>
                <w:bCs/>
                <w:sz w:val="18"/>
                <w:lang w:val="en-GB"/>
              </w:rPr>
              <w:t>5</w:t>
            </w:r>
            <w:r w:rsidR="00060E69" w:rsidRPr="00060E69">
              <w:rPr>
                <w:rFonts w:ascii="Arial" w:hAnsi="Arial" w:cs="Arial"/>
                <w:bCs/>
                <w:sz w:val="18"/>
                <w:lang w:val="en-GB"/>
              </w:rPr>
              <w:t>.</w:t>
            </w:r>
            <w:r w:rsidR="00060E69" w:rsidRPr="00060E69">
              <w:rPr>
                <w:rFonts w:ascii="Arial" w:hAnsi="Arial" w:cs="Arial"/>
                <w:bCs/>
                <w:color w:val="000000"/>
                <w:sz w:val="18"/>
                <w:lang w:val="en-GB"/>
              </w:rPr>
              <w:t xml:space="preserve"> Apply and compare main corporate valuation methods (discounted cash flows, relative valuation).</w:t>
            </w:r>
          </w:p>
        </w:tc>
        <w:tc>
          <w:tcPr>
            <w:tcW w:w="1843" w:type="dxa"/>
            <w:shd w:val="clear" w:color="auto" w:fill="auto"/>
          </w:tcPr>
          <w:p w14:paraId="2EA7E9C7" w14:textId="77777777" w:rsidR="00060E69" w:rsidRDefault="00060E69" w:rsidP="005B661C">
            <w:pPr>
              <w:widowControl w:val="0"/>
              <w:spacing w:before="120" w:after="0"/>
              <w:rPr>
                <w:rFonts w:ascii="Arial" w:hAnsi="Arial" w:cs="Arial"/>
                <w:sz w:val="18"/>
                <w:szCs w:val="18"/>
              </w:rPr>
            </w:pPr>
            <w:r>
              <w:rPr>
                <w:rFonts w:ascii="Arial" w:hAnsi="Arial" w:cs="Arial"/>
                <w:sz w:val="18"/>
                <w:szCs w:val="18"/>
              </w:rPr>
              <w:t>BLO</w:t>
            </w:r>
            <w:r w:rsidR="005B661C">
              <w:rPr>
                <w:rFonts w:ascii="Arial" w:hAnsi="Arial" w:cs="Arial"/>
                <w:sz w:val="18"/>
                <w:szCs w:val="18"/>
              </w:rPr>
              <w:t>1.2</w:t>
            </w:r>
            <w:r w:rsidR="0005410F">
              <w:rPr>
                <w:rFonts w:ascii="Arial" w:hAnsi="Arial" w:cs="Arial"/>
                <w:sz w:val="18"/>
                <w:szCs w:val="18"/>
              </w:rPr>
              <w:t>,</w:t>
            </w:r>
          </w:p>
          <w:p w14:paraId="50E127D8" w14:textId="1688B27B" w:rsidR="0005410F" w:rsidRDefault="0005410F" w:rsidP="005B661C">
            <w:pPr>
              <w:widowControl w:val="0"/>
              <w:spacing w:before="120" w:after="0"/>
              <w:rPr>
                <w:rFonts w:ascii="Arial" w:hAnsi="Arial" w:cs="Arial"/>
                <w:sz w:val="18"/>
                <w:szCs w:val="18"/>
              </w:rPr>
            </w:pPr>
            <w:r>
              <w:rPr>
                <w:rFonts w:ascii="Arial" w:hAnsi="Arial" w:cs="Arial"/>
                <w:sz w:val="18"/>
                <w:szCs w:val="18"/>
              </w:rPr>
              <w:t>BLO4.3</w:t>
            </w:r>
          </w:p>
        </w:tc>
        <w:tc>
          <w:tcPr>
            <w:tcW w:w="1559" w:type="dxa"/>
            <w:vAlign w:val="center"/>
          </w:tcPr>
          <w:p w14:paraId="3790536D" w14:textId="1A5070AE" w:rsidR="00060E69" w:rsidRPr="00060E69" w:rsidRDefault="000838A8" w:rsidP="00060E69">
            <w:pPr>
              <w:pStyle w:val="Head"/>
              <w:spacing w:before="0" w:after="0"/>
              <w:jc w:val="left"/>
              <w:rPr>
                <w:rFonts w:ascii="Arial" w:hAnsi="Arial" w:cs="Arial"/>
                <w:b w:val="0"/>
                <w:sz w:val="18"/>
                <w:lang w:val="en-GB"/>
              </w:rPr>
            </w:pPr>
            <w:r>
              <w:rPr>
                <w:rFonts w:ascii="Arial" w:hAnsi="Arial" w:cs="Arial"/>
                <w:b w:val="0"/>
                <w:sz w:val="18"/>
                <w:lang w:val="en-GB"/>
              </w:rPr>
              <w:t>C</w:t>
            </w:r>
            <w:r w:rsidR="00060E69" w:rsidRPr="00060E69">
              <w:rPr>
                <w:rFonts w:ascii="Arial" w:hAnsi="Arial" w:cs="Arial"/>
                <w:b w:val="0"/>
                <w:sz w:val="18"/>
                <w:lang w:val="en-GB"/>
              </w:rPr>
              <w:t xml:space="preserve">oursework, </w:t>
            </w:r>
          </w:p>
          <w:p w14:paraId="07511DE1" w14:textId="36DD449B" w:rsidR="00060E69" w:rsidRPr="00060E69" w:rsidRDefault="00060E69" w:rsidP="00060E69">
            <w:pPr>
              <w:widowControl w:val="0"/>
              <w:spacing w:before="120" w:after="0"/>
              <w:rPr>
                <w:rFonts w:ascii="Arial" w:hAnsi="Arial" w:cs="Arial"/>
                <w:bCs/>
                <w:sz w:val="18"/>
                <w:szCs w:val="18"/>
              </w:rPr>
            </w:pPr>
            <w:r w:rsidRPr="00060E69">
              <w:rPr>
                <w:rFonts w:ascii="Arial" w:hAnsi="Arial" w:cs="Arial"/>
                <w:bCs/>
                <w:sz w:val="18"/>
                <w:lang w:val="en-GB"/>
              </w:rPr>
              <w:t>final exam</w:t>
            </w:r>
          </w:p>
        </w:tc>
        <w:tc>
          <w:tcPr>
            <w:tcW w:w="1887" w:type="dxa"/>
            <w:vAlign w:val="center"/>
          </w:tcPr>
          <w:p w14:paraId="4DF3FA95" w14:textId="065D3AAC" w:rsidR="00060E69" w:rsidRPr="00060E69" w:rsidRDefault="00060E69" w:rsidP="00060E69">
            <w:pPr>
              <w:widowControl w:val="0"/>
              <w:spacing w:before="120" w:after="0"/>
              <w:rPr>
                <w:rFonts w:ascii="Arial" w:hAnsi="Arial" w:cs="Arial"/>
                <w:bCs/>
                <w:sz w:val="18"/>
                <w:szCs w:val="18"/>
              </w:rPr>
            </w:pPr>
            <w:r w:rsidRPr="00060E69">
              <w:rPr>
                <w:rFonts w:ascii="Arial" w:hAnsi="Arial" w:cs="Arial"/>
                <w:bCs/>
                <w:sz w:val="18"/>
                <w:lang w:val="en-GB"/>
              </w:rPr>
              <w:t>Lectures, seminars, self-study</w:t>
            </w:r>
          </w:p>
        </w:tc>
      </w:tr>
      <w:tr w:rsidR="008214F5" w:rsidRPr="00DD6FA8" w14:paraId="43CFECC2" w14:textId="77777777" w:rsidTr="0046304C">
        <w:trPr>
          <w:trHeight w:val="414"/>
        </w:trPr>
        <w:tc>
          <w:tcPr>
            <w:tcW w:w="4673" w:type="dxa"/>
            <w:vAlign w:val="center"/>
          </w:tcPr>
          <w:p w14:paraId="2DCAF50D" w14:textId="28D89A88" w:rsidR="008214F5" w:rsidRDefault="008214F5" w:rsidP="00060E69">
            <w:pPr>
              <w:widowControl w:val="0"/>
              <w:spacing w:before="120" w:after="0"/>
              <w:rPr>
                <w:rFonts w:ascii="Arial" w:hAnsi="Arial" w:cs="Arial"/>
                <w:bCs/>
                <w:sz w:val="18"/>
                <w:lang w:val="en-GB"/>
              </w:rPr>
            </w:pPr>
            <w:r>
              <w:rPr>
                <w:rFonts w:ascii="Arial" w:hAnsi="Arial" w:cs="Arial"/>
                <w:bCs/>
                <w:sz w:val="18"/>
                <w:lang w:val="en-GB"/>
              </w:rPr>
              <w:t>CLO6. Relate the main tasks in financial management; discuss the risk of financial decisions</w:t>
            </w:r>
          </w:p>
        </w:tc>
        <w:tc>
          <w:tcPr>
            <w:tcW w:w="1843" w:type="dxa"/>
            <w:shd w:val="clear" w:color="auto" w:fill="auto"/>
          </w:tcPr>
          <w:p w14:paraId="5E27C6AB" w14:textId="6CF1E048" w:rsidR="008214F5" w:rsidRDefault="008214F5" w:rsidP="005B661C">
            <w:pPr>
              <w:widowControl w:val="0"/>
              <w:spacing w:before="120" w:after="0"/>
              <w:rPr>
                <w:rFonts w:ascii="Arial" w:hAnsi="Arial" w:cs="Arial"/>
                <w:sz w:val="18"/>
                <w:szCs w:val="18"/>
              </w:rPr>
            </w:pPr>
            <w:r>
              <w:rPr>
                <w:rFonts w:ascii="Arial" w:hAnsi="Arial" w:cs="Arial"/>
                <w:sz w:val="18"/>
                <w:szCs w:val="18"/>
              </w:rPr>
              <w:t>BLO1.1</w:t>
            </w:r>
          </w:p>
        </w:tc>
        <w:tc>
          <w:tcPr>
            <w:tcW w:w="1559" w:type="dxa"/>
            <w:vAlign w:val="center"/>
          </w:tcPr>
          <w:p w14:paraId="36FD6AE2" w14:textId="158F6897" w:rsidR="008214F5" w:rsidRDefault="008214F5" w:rsidP="00060E69">
            <w:pPr>
              <w:pStyle w:val="Head"/>
              <w:spacing w:before="0" w:after="0"/>
              <w:jc w:val="left"/>
              <w:rPr>
                <w:rFonts w:ascii="Arial" w:hAnsi="Arial" w:cs="Arial"/>
                <w:b w:val="0"/>
                <w:sz w:val="18"/>
                <w:lang w:val="en-GB"/>
              </w:rPr>
            </w:pPr>
            <w:r>
              <w:rPr>
                <w:rFonts w:ascii="Arial" w:hAnsi="Arial" w:cs="Arial"/>
                <w:b w:val="0"/>
                <w:sz w:val="18"/>
                <w:lang w:val="en-GB"/>
              </w:rPr>
              <w:t>Midterm test</w:t>
            </w:r>
          </w:p>
        </w:tc>
        <w:tc>
          <w:tcPr>
            <w:tcW w:w="1887" w:type="dxa"/>
            <w:vAlign w:val="center"/>
          </w:tcPr>
          <w:p w14:paraId="32FA34FF" w14:textId="46F98454" w:rsidR="008214F5" w:rsidRPr="00060E69" w:rsidRDefault="008214F5" w:rsidP="00060E69">
            <w:pPr>
              <w:widowControl w:val="0"/>
              <w:spacing w:before="120" w:after="0"/>
              <w:rPr>
                <w:rFonts w:ascii="Arial" w:hAnsi="Arial" w:cs="Arial"/>
                <w:bCs/>
                <w:sz w:val="18"/>
                <w:lang w:val="en-GB"/>
              </w:rPr>
            </w:pPr>
            <w:r>
              <w:rPr>
                <w:rFonts w:ascii="Arial" w:hAnsi="Arial" w:cs="Arial"/>
                <w:bCs/>
                <w:sz w:val="18"/>
                <w:lang w:val="en-GB"/>
              </w:rPr>
              <w:t>Lectures, seminars, self-study</w:t>
            </w:r>
          </w:p>
        </w:tc>
      </w:tr>
      <w:tr w:rsidR="00755D75" w:rsidRPr="00DD6FA8" w14:paraId="704745FC" w14:textId="77777777" w:rsidTr="0046304C">
        <w:trPr>
          <w:trHeight w:val="414"/>
        </w:trPr>
        <w:tc>
          <w:tcPr>
            <w:tcW w:w="4673" w:type="dxa"/>
            <w:vAlign w:val="center"/>
          </w:tcPr>
          <w:p w14:paraId="17DD5EC1" w14:textId="1386B919" w:rsidR="00755D75" w:rsidRPr="0044217A" w:rsidRDefault="00BC2406" w:rsidP="000511E0">
            <w:pPr>
              <w:widowControl w:val="0"/>
              <w:spacing w:before="120" w:after="0"/>
              <w:rPr>
                <w:rFonts w:ascii="Arial" w:hAnsi="Arial" w:cs="Arial"/>
                <w:bCs/>
                <w:sz w:val="18"/>
                <w:szCs w:val="18"/>
              </w:rPr>
            </w:pPr>
            <w:r>
              <w:rPr>
                <w:rFonts w:ascii="Arial" w:hAnsi="Arial" w:cs="Arial"/>
                <w:bCs/>
                <w:sz w:val="18"/>
                <w:lang w:val="en-GB"/>
              </w:rPr>
              <w:t>C</w:t>
            </w:r>
            <w:r w:rsidR="00755D75" w:rsidRPr="0044217A">
              <w:rPr>
                <w:rFonts w:ascii="Arial" w:hAnsi="Arial" w:cs="Arial"/>
                <w:bCs/>
                <w:sz w:val="18"/>
                <w:lang w:val="en-GB"/>
              </w:rPr>
              <w:t>LO</w:t>
            </w:r>
            <w:r w:rsidR="008214F5">
              <w:rPr>
                <w:rFonts w:ascii="Arial" w:hAnsi="Arial" w:cs="Arial"/>
                <w:bCs/>
                <w:sz w:val="18"/>
                <w:lang w:val="en-GB"/>
              </w:rPr>
              <w:t>7</w:t>
            </w:r>
            <w:r w:rsidR="00755D75" w:rsidRPr="0044217A">
              <w:rPr>
                <w:rFonts w:ascii="Arial" w:hAnsi="Arial" w:cs="Arial"/>
                <w:bCs/>
                <w:sz w:val="18"/>
                <w:lang w:val="en-GB"/>
              </w:rPr>
              <w:t>. Work in teams, present work results in writing, substantiate decisions taken.</w:t>
            </w:r>
          </w:p>
        </w:tc>
        <w:tc>
          <w:tcPr>
            <w:tcW w:w="1843" w:type="dxa"/>
            <w:shd w:val="clear" w:color="auto" w:fill="auto"/>
          </w:tcPr>
          <w:p w14:paraId="747E559D" w14:textId="77777777" w:rsidR="00755D75" w:rsidRDefault="00755D75" w:rsidP="000511E0">
            <w:pPr>
              <w:widowControl w:val="0"/>
              <w:spacing w:before="120" w:after="0"/>
              <w:rPr>
                <w:rFonts w:ascii="Arial" w:hAnsi="Arial" w:cs="Arial"/>
                <w:sz w:val="18"/>
                <w:szCs w:val="18"/>
              </w:rPr>
            </w:pPr>
            <w:r>
              <w:rPr>
                <w:rFonts w:ascii="Arial" w:hAnsi="Arial" w:cs="Arial"/>
                <w:sz w:val="18"/>
                <w:szCs w:val="18"/>
              </w:rPr>
              <w:t>BLO4.3</w:t>
            </w:r>
          </w:p>
        </w:tc>
        <w:tc>
          <w:tcPr>
            <w:tcW w:w="1559" w:type="dxa"/>
            <w:vAlign w:val="center"/>
          </w:tcPr>
          <w:p w14:paraId="2DA75B93" w14:textId="77777777" w:rsidR="00755D75" w:rsidRPr="0044217A" w:rsidRDefault="00755D75" w:rsidP="000511E0">
            <w:pPr>
              <w:widowControl w:val="0"/>
              <w:spacing w:before="120" w:after="0"/>
              <w:rPr>
                <w:rFonts w:ascii="Arial" w:hAnsi="Arial" w:cs="Arial"/>
                <w:bCs/>
                <w:sz w:val="18"/>
                <w:szCs w:val="18"/>
              </w:rPr>
            </w:pPr>
            <w:r w:rsidRPr="0044217A">
              <w:rPr>
                <w:rFonts w:ascii="Arial" w:hAnsi="Arial" w:cs="Arial"/>
                <w:bCs/>
                <w:sz w:val="18"/>
                <w:lang w:val="en-GB"/>
              </w:rPr>
              <w:t xml:space="preserve">Coursework </w:t>
            </w:r>
          </w:p>
        </w:tc>
        <w:tc>
          <w:tcPr>
            <w:tcW w:w="1887" w:type="dxa"/>
            <w:vAlign w:val="center"/>
          </w:tcPr>
          <w:p w14:paraId="0870F3D7" w14:textId="77777777" w:rsidR="00755D75" w:rsidRPr="0044217A" w:rsidRDefault="00755D75" w:rsidP="000511E0">
            <w:pPr>
              <w:widowControl w:val="0"/>
              <w:spacing w:before="120" w:after="0"/>
              <w:rPr>
                <w:rFonts w:ascii="Arial" w:hAnsi="Arial" w:cs="Arial"/>
                <w:bCs/>
                <w:sz w:val="18"/>
                <w:szCs w:val="18"/>
              </w:rPr>
            </w:pPr>
            <w:r w:rsidRPr="0044217A">
              <w:rPr>
                <w:rFonts w:ascii="Arial" w:hAnsi="Arial" w:cs="Arial"/>
                <w:bCs/>
                <w:sz w:val="18"/>
                <w:lang w:val="en-GB"/>
              </w:rPr>
              <w:t>Self-study in groups, seminars, individual 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7FFB26BA"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lastRenderedPageBreak/>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26"/>
        <w:gridCol w:w="1349"/>
        <w:gridCol w:w="2589"/>
      </w:tblGrid>
      <w:tr w:rsidR="00B259CF" w:rsidRPr="00DD6FA8" w14:paraId="5BB3D477" w14:textId="77777777" w:rsidTr="00B37B39">
        <w:trPr>
          <w:trHeight w:val="514"/>
        </w:trPr>
        <w:tc>
          <w:tcPr>
            <w:tcW w:w="3024"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77"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299" w:type="pct"/>
            <w:shd w:val="clear" w:color="auto" w:fill="auto"/>
            <w:tcMar>
              <w:top w:w="14" w:type="dxa"/>
              <w:left w:w="115" w:type="dxa"/>
              <w:bottom w:w="14" w:type="dxa"/>
              <w:right w:w="115" w:type="dxa"/>
            </w:tcMar>
            <w:vAlign w:val="center"/>
          </w:tcPr>
          <w:p w14:paraId="0959F90B" w14:textId="7684A43D"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2B1DCE" w:rsidRPr="00DD6FA8" w14:paraId="18F3A468" w14:textId="77777777" w:rsidTr="00B37B39">
        <w:trPr>
          <w:trHeight w:val="314"/>
        </w:trPr>
        <w:tc>
          <w:tcPr>
            <w:tcW w:w="3024" w:type="pct"/>
            <w:tcMar>
              <w:top w:w="72" w:type="dxa"/>
              <w:left w:w="115" w:type="dxa"/>
              <w:bottom w:w="72" w:type="dxa"/>
              <w:right w:w="115" w:type="dxa"/>
            </w:tcMar>
          </w:tcPr>
          <w:p w14:paraId="0D4A9E2E" w14:textId="77777777" w:rsidR="002B1DCE" w:rsidRDefault="002B1DCE" w:rsidP="002B1DCE">
            <w:pPr>
              <w:spacing w:after="0"/>
              <w:rPr>
                <w:rFonts w:ascii="Arial" w:hAnsi="Arial" w:cs="Arial"/>
                <w:sz w:val="18"/>
                <w:szCs w:val="18"/>
                <w:lang w:val="en-GB"/>
              </w:rPr>
            </w:pPr>
            <w:r>
              <w:rPr>
                <w:rFonts w:ascii="Arial" w:hAnsi="Arial" w:cs="Arial"/>
                <w:sz w:val="18"/>
                <w:szCs w:val="18"/>
                <w:lang w:val="en-GB"/>
              </w:rPr>
              <w:t>Introduction to corporate finance</w:t>
            </w:r>
            <w:r w:rsidR="00237270">
              <w:rPr>
                <w:rFonts w:ascii="Arial" w:hAnsi="Arial" w:cs="Arial"/>
                <w:sz w:val="18"/>
                <w:szCs w:val="18"/>
                <w:lang w:val="en-GB"/>
              </w:rPr>
              <w:t>.</w:t>
            </w:r>
          </w:p>
          <w:p w14:paraId="5FC0964A" w14:textId="68FD9BE4" w:rsidR="00237270" w:rsidRPr="00DD6FA8" w:rsidRDefault="00237270" w:rsidP="002B1DCE">
            <w:pPr>
              <w:spacing w:after="0"/>
              <w:rPr>
                <w:rFonts w:ascii="Arial" w:hAnsi="Arial" w:cs="Arial"/>
                <w:sz w:val="18"/>
                <w:szCs w:val="18"/>
              </w:rPr>
            </w:pPr>
            <w:r>
              <w:rPr>
                <w:rFonts w:ascii="Arial" w:hAnsi="Arial" w:cs="Arial"/>
                <w:sz w:val="18"/>
                <w:szCs w:val="18"/>
              </w:rPr>
              <w:t>The goal of financial management</w:t>
            </w:r>
          </w:p>
        </w:tc>
        <w:tc>
          <w:tcPr>
            <w:tcW w:w="677" w:type="pct"/>
            <w:tcMar>
              <w:top w:w="72" w:type="dxa"/>
              <w:left w:w="115" w:type="dxa"/>
              <w:bottom w:w="72" w:type="dxa"/>
              <w:right w:w="115" w:type="dxa"/>
            </w:tcMar>
            <w:vAlign w:val="center"/>
          </w:tcPr>
          <w:p w14:paraId="4C428945" w14:textId="599DBCDB"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2F98EE1D" w14:textId="1A8B6F4F" w:rsidR="002B1DCE" w:rsidRPr="00DD6FA8" w:rsidRDefault="002B1DCE" w:rsidP="002B1DCE">
            <w:pPr>
              <w:spacing w:after="0"/>
              <w:rPr>
                <w:rFonts w:ascii="Arial" w:hAnsi="Arial" w:cs="Arial"/>
                <w:bCs/>
                <w:sz w:val="18"/>
                <w:szCs w:val="18"/>
              </w:rPr>
            </w:pPr>
            <w:r>
              <w:rPr>
                <w:rFonts w:ascii="Arial" w:hAnsi="Arial" w:cs="Arial"/>
                <w:bCs/>
                <w:sz w:val="18"/>
                <w:szCs w:val="18"/>
                <w:lang w:val="en-GB"/>
              </w:rPr>
              <w:t>Ch. 1</w:t>
            </w:r>
          </w:p>
        </w:tc>
      </w:tr>
      <w:tr w:rsidR="002B1DCE" w:rsidRPr="00DD6FA8" w14:paraId="01471B54" w14:textId="77777777" w:rsidTr="00B37B39">
        <w:trPr>
          <w:trHeight w:val="312"/>
        </w:trPr>
        <w:tc>
          <w:tcPr>
            <w:tcW w:w="3024" w:type="pct"/>
            <w:tcMar>
              <w:top w:w="72" w:type="dxa"/>
              <w:left w:w="115" w:type="dxa"/>
              <w:bottom w:w="72" w:type="dxa"/>
              <w:right w:w="115" w:type="dxa"/>
            </w:tcMar>
          </w:tcPr>
          <w:p w14:paraId="7B7EB40A" w14:textId="177C7F87" w:rsidR="002B1DCE" w:rsidRPr="00DD6FA8" w:rsidRDefault="006F3D6D" w:rsidP="002B1DCE">
            <w:pPr>
              <w:tabs>
                <w:tab w:val="left" w:pos="190"/>
              </w:tabs>
              <w:spacing w:after="0"/>
              <w:rPr>
                <w:rFonts w:ascii="Arial" w:hAnsi="Arial" w:cs="Arial"/>
                <w:bCs/>
                <w:sz w:val="18"/>
                <w:szCs w:val="18"/>
              </w:rPr>
            </w:pPr>
            <w:r>
              <w:rPr>
                <w:rFonts w:ascii="Arial" w:hAnsi="Arial" w:cs="Arial"/>
                <w:sz w:val="18"/>
                <w:szCs w:val="18"/>
                <w:lang w:val="en-GB"/>
              </w:rPr>
              <w:t>Financial statement analysis: financial ratios, KPIs</w:t>
            </w:r>
          </w:p>
        </w:tc>
        <w:tc>
          <w:tcPr>
            <w:tcW w:w="677" w:type="pct"/>
            <w:tcMar>
              <w:top w:w="72" w:type="dxa"/>
              <w:left w:w="115" w:type="dxa"/>
              <w:bottom w:w="72" w:type="dxa"/>
              <w:right w:w="115" w:type="dxa"/>
            </w:tcMar>
            <w:vAlign w:val="center"/>
          </w:tcPr>
          <w:p w14:paraId="64B2CE97" w14:textId="136311C7"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3AAC5BB6" w14:textId="1CC0D3CE" w:rsidR="002B1DCE" w:rsidRPr="00DD6FA8" w:rsidRDefault="002B1DCE" w:rsidP="002B1DCE">
            <w:pPr>
              <w:spacing w:after="0"/>
              <w:rPr>
                <w:rFonts w:ascii="Arial" w:hAnsi="Arial" w:cs="Arial"/>
                <w:bCs/>
                <w:sz w:val="18"/>
                <w:szCs w:val="18"/>
              </w:rPr>
            </w:pPr>
            <w:r>
              <w:rPr>
                <w:rFonts w:ascii="Arial" w:hAnsi="Arial" w:cs="Arial"/>
                <w:bCs/>
                <w:sz w:val="18"/>
                <w:szCs w:val="18"/>
                <w:lang w:val="en-GB"/>
              </w:rPr>
              <w:t>Ch.</w:t>
            </w:r>
            <w:r w:rsidR="003321BB">
              <w:rPr>
                <w:rFonts w:ascii="Arial" w:hAnsi="Arial" w:cs="Arial"/>
                <w:bCs/>
                <w:sz w:val="18"/>
                <w:szCs w:val="18"/>
                <w:lang w:val="en-GB"/>
              </w:rPr>
              <w:t xml:space="preserve"> 3</w:t>
            </w:r>
            <w:r>
              <w:rPr>
                <w:rFonts w:ascii="Arial" w:hAnsi="Arial" w:cs="Arial"/>
                <w:bCs/>
                <w:sz w:val="18"/>
                <w:szCs w:val="18"/>
                <w:lang w:val="en-GB"/>
              </w:rPr>
              <w:t xml:space="preserve"> </w:t>
            </w:r>
            <w:r w:rsidR="003321BB">
              <w:rPr>
                <w:rFonts w:ascii="Arial" w:hAnsi="Arial" w:cs="Arial"/>
                <w:bCs/>
                <w:sz w:val="18"/>
                <w:szCs w:val="18"/>
                <w:lang w:val="en-GB"/>
              </w:rPr>
              <w:t xml:space="preserve"> </w:t>
            </w:r>
          </w:p>
        </w:tc>
      </w:tr>
      <w:tr w:rsidR="001B6701" w:rsidRPr="00DD6FA8" w14:paraId="24456075" w14:textId="77777777" w:rsidTr="00B37B39">
        <w:trPr>
          <w:trHeight w:val="312"/>
        </w:trPr>
        <w:tc>
          <w:tcPr>
            <w:tcW w:w="3024" w:type="pct"/>
            <w:tcMar>
              <w:top w:w="72" w:type="dxa"/>
              <w:left w:w="115" w:type="dxa"/>
              <w:bottom w:w="72" w:type="dxa"/>
              <w:right w:w="115" w:type="dxa"/>
            </w:tcMar>
          </w:tcPr>
          <w:p w14:paraId="22E38EBE" w14:textId="400119D8" w:rsidR="001B6701" w:rsidRDefault="007A281B" w:rsidP="002B1DCE">
            <w:pPr>
              <w:tabs>
                <w:tab w:val="left" w:pos="190"/>
              </w:tabs>
              <w:spacing w:after="0"/>
              <w:rPr>
                <w:rFonts w:ascii="Arial" w:hAnsi="Arial" w:cs="Arial"/>
                <w:sz w:val="18"/>
                <w:szCs w:val="18"/>
                <w:lang w:val="en-GB"/>
              </w:rPr>
            </w:pPr>
            <w:r>
              <w:rPr>
                <w:rFonts w:ascii="Arial" w:hAnsi="Arial" w:cs="Arial"/>
                <w:sz w:val="18"/>
                <w:szCs w:val="18"/>
                <w:lang w:val="en-GB"/>
              </w:rPr>
              <w:t>Short-term financing</w:t>
            </w:r>
          </w:p>
        </w:tc>
        <w:tc>
          <w:tcPr>
            <w:tcW w:w="677" w:type="pct"/>
            <w:tcMar>
              <w:top w:w="72" w:type="dxa"/>
              <w:left w:w="115" w:type="dxa"/>
              <w:bottom w:w="72" w:type="dxa"/>
              <w:right w:w="115" w:type="dxa"/>
            </w:tcMar>
            <w:vAlign w:val="center"/>
          </w:tcPr>
          <w:p w14:paraId="0EE7C5E0" w14:textId="05495B40" w:rsidR="001B6701" w:rsidRDefault="007A281B"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6C9ED45A" w14:textId="4A1DB128" w:rsidR="001B6701" w:rsidRDefault="007A281B" w:rsidP="002B1DCE">
            <w:pPr>
              <w:spacing w:after="0"/>
              <w:rPr>
                <w:rFonts w:ascii="Arial" w:hAnsi="Arial" w:cs="Arial"/>
                <w:bCs/>
                <w:sz w:val="18"/>
                <w:szCs w:val="18"/>
                <w:lang w:val="en-GB"/>
              </w:rPr>
            </w:pPr>
            <w:r>
              <w:rPr>
                <w:rFonts w:ascii="Arial" w:hAnsi="Arial" w:cs="Arial"/>
                <w:bCs/>
                <w:sz w:val="18"/>
                <w:szCs w:val="18"/>
                <w:lang w:val="en-GB"/>
              </w:rPr>
              <w:t xml:space="preserve">Ch. </w:t>
            </w:r>
            <w:r w:rsidR="005A0263">
              <w:rPr>
                <w:rFonts w:ascii="Arial" w:hAnsi="Arial" w:cs="Arial"/>
                <w:bCs/>
                <w:sz w:val="18"/>
                <w:szCs w:val="18"/>
                <w:lang w:val="en-GB"/>
              </w:rPr>
              <w:t>26, 27</w:t>
            </w:r>
          </w:p>
        </w:tc>
      </w:tr>
      <w:tr w:rsidR="003321BB" w:rsidRPr="00DD6FA8" w14:paraId="38FB546F" w14:textId="77777777" w:rsidTr="00B37B39">
        <w:trPr>
          <w:trHeight w:val="312"/>
        </w:trPr>
        <w:tc>
          <w:tcPr>
            <w:tcW w:w="3024" w:type="pct"/>
            <w:tcMar>
              <w:top w:w="72" w:type="dxa"/>
              <w:left w:w="115" w:type="dxa"/>
              <w:bottom w:w="72" w:type="dxa"/>
              <w:right w:w="115" w:type="dxa"/>
            </w:tcMar>
          </w:tcPr>
          <w:p w14:paraId="071F94B6" w14:textId="490352ED" w:rsidR="003321BB" w:rsidRDefault="003321BB" w:rsidP="002B1DCE">
            <w:pPr>
              <w:tabs>
                <w:tab w:val="left" w:pos="190"/>
              </w:tabs>
              <w:spacing w:after="0"/>
              <w:rPr>
                <w:rFonts w:ascii="Arial" w:hAnsi="Arial" w:cs="Arial"/>
                <w:sz w:val="18"/>
                <w:szCs w:val="18"/>
                <w:lang w:val="en-GB"/>
              </w:rPr>
            </w:pPr>
            <w:r w:rsidRPr="005D2DDD">
              <w:rPr>
                <w:rFonts w:ascii="Arial" w:hAnsi="Arial" w:cs="Arial"/>
                <w:sz w:val="18"/>
                <w:szCs w:val="18"/>
                <w:lang w:val="en-GB"/>
              </w:rPr>
              <w:t>NPV (net present value) and alternative investment appraisal rules</w:t>
            </w:r>
          </w:p>
        </w:tc>
        <w:tc>
          <w:tcPr>
            <w:tcW w:w="677" w:type="pct"/>
            <w:tcMar>
              <w:top w:w="72" w:type="dxa"/>
              <w:left w:w="115" w:type="dxa"/>
              <w:bottom w:w="72" w:type="dxa"/>
              <w:right w:w="115" w:type="dxa"/>
            </w:tcMar>
            <w:vAlign w:val="center"/>
          </w:tcPr>
          <w:p w14:paraId="6198B8A5" w14:textId="4D13C5AC" w:rsidR="003321BB" w:rsidRDefault="003321BB"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3AF08A6D" w14:textId="776DF3C2" w:rsidR="003321BB" w:rsidRDefault="003321BB" w:rsidP="002B1DCE">
            <w:pPr>
              <w:spacing w:after="0"/>
              <w:rPr>
                <w:rFonts w:ascii="Arial" w:hAnsi="Arial" w:cs="Arial"/>
                <w:bCs/>
                <w:sz w:val="18"/>
                <w:szCs w:val="18"/>
                <w:lang w:val="en-GB"/>
              </w:rPr>
            </w:pPr>
            <w:r>
              <w:rPr>
                <w:rFonts w:ascii="Arial" w:hAnsi="Arial" w:cs="Arial"/>
                <w:bCs/>
                <w:sz w:val="18"/>
                <w:szCs w:val="18"/>
                <w:lang w:val="en-GB"/>
              </w:rPr>
              <w:t>Ch. 6</w:t>
            </w:r>
          </w:p>
        </w:tc>
      </w:tr>
      <w:tr w:rsidR="003321BB" w:rsidRPr="00DD6FA8" w14:paraId="6E8E8FC9" w14:textId="77777777" w:rsidTr="00B37B39">
        <w:trPr>
          <w:trHeight w:val="312"/>
        </w:trPr>
        <w:tc>
          <w:tcPr>
            <w:tcW w:w="3024" w:type="pct"/>
            <w:tcMar>
              <w:top w:w="72" w:type="dxa"/>
              <w:left w:w="115" w:type="dxa"/>
              <w:bottom w:w="72" w:type="dxa"/>
              <w:right w:w="115" w:type="dxa"/>
            </w:tcMar>
          </w:tcPr>
          <w:p w14:paraId="4089040B" w14:textId="07EEC4BE" w:rsidR="003321BB" w:rsidRDefault="004B2D2A" w:rsidP="002B1DCE">
            <w:pPr>
              <w:tabs>
                <w:tab w:val="left" w:pos="190"/>
              </w:tabs>
              <w:spacing w:after="0"/>
              <w:rPr>
                <w:rFonts w:ascii="Arial" w:hAnsi="Arial" w:cs="Arial"/>
                <w:sz w:val="18"/>
                <w:szCs w:val="18"/>
                <w:lang w:val="en-GB"/>
              </w:rPr>
            </w:pPr>
            <w:r>
              <w:rPr>
                <w:rFonts w:ascii="Arial" w:hAnsi="Arial" w:cs="Arial"/>
                <w:sz w:val="18"/>
                <w:szCs w:val="18"/>
                <w:lang w:val="en-GB"/>
              </w:rPr>
              <w:t>Implementing the NPV rule</w:t>
            </w:r>
          </w:p>
        </w:tc>
        <w:tc>
          <w:tcPr>
            <w:tcW w:w="677" w:type="pct"/>
            <w:tcMar>
              <w:top w:w="72" w:type="dxa"/>
              <w:left w:w="115" w:type="dxa"/>
              <w:bottom w:w="72" w:type="dxa"/>
              <w:right w:w="115" w:type="dxa"/>
            </w:tcMar>
            <w:vAlign w:val="center"/>
          </w:tcPr>
          <w:p w14:paraId="636CF57C" w14:textId="6DFE61C5" w:rsidR="003321BB" w:rsidRDefault="004B2D2A"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66127E92" w14:textId="69D00D31" w:rsidR="003321BB" w:rsidRDefault="004B2D2A" w:rsidP="002B1DCE">
            <w:pPr>
              <w:spacing w:after="0"/>
              <w:rPr>
                <w:rFonts w:ascii="Arial" w:hAnsi="Arial" w:cs="Arial"/>
                <w:bCs/>
                <w:sz w:val="18"/>
                <w:szCs w:val="18"/>
                <w:lang w:val="en-GB"/>
              </w:rPr>
            </w:pPr>
            <w:r>
              <w:rPr>
                <w:rFonts w:ascii="Arial" w:hAnsi="Arial" w:cs="Arial"/>
                <w:bCs/>
                <w:sz w:val="18"/>
                <w:szCs w:val="18"/>
                <w:lang w:val="en-GB"/>
              </w:rPr>
              <w:t>Ch. 7</w:t>
            </w:r>
          </w:p>
        </w:tc>
      </w:tr>
      <w:tr w:rsidR="004B2D2A" w:rsidRPr="00DD6FA8" w14:paraId="0BC9BA9B" w14:textId="77777777" w:rsidTr="00B37B39">
        <w:trPr>
          <w:trHeight w:val="312"/>
        </w:trPr>
        <w:tc>
          <w:tcPr>
            <w:tcW w:w="3024" w:type="pct"/>
            <w:tcMar>
              <w:top w:w="72" w:type="dxa"/>
              <w:left w:w="115" w:type="dxa"/>
              <w:bottom w:w="72" w:type="dxa"/>
              <w:right w:w="115" w:type="dxa"/>
            </w:tcMar>
          </w:tcPr>
          <w:p w14:paraId="28B4DBC1" w14:textId="19244063" w:rsidR="004B2D2A" w:rsidRDefault="004B2D2A" w:rsidP="002B1DCE">
            <w:pPr>
              <w:tabs>
                <w:tab w:val="left" w:pos="190"/>
              </w:tabs>
              <w:spacing w:after="0"/>
              <w:rPr>
                <w:rFonts w:ascii="Arial" w:hAnsi="Arial" w:cs="Arial"/>
                <w:sz w:val="18"/>
                <w:szCs w:val="18"/>
                <w:lang w:val="en-GB"/>
              </w:rPr>
            </w:pPr>
            <w:r>
              <w:rPr>
                <w:rFonts w:ascii="Arial" w:hAnsi="Arial" w:cs="Arial"/>
                <w:sz w:val="18"/>
                <w:szCs w:val="18"/>
                <w:lang w:val="en-GB"/>
              </w:rPr>
              <w:t>Capital budgeting and risk</w:t>
            </w:r>
          </w:p>
        </w:tc>
        <w:tc>
          <w:tcPr>
            <w:tcW w:w="677" w:type="pct"/>
            <w:tcMar>
              <w:top w:w="72" w:type="dxa"/>
              <w:left w:w="115" w:type="dxa"/>
              <w:bottom w:w="72" w:type="dxa"/>
              <w:right w:w="115" w:type="dxa"/>
            </w:tcMar>
            <w:vAlign w:val="center"/>
          </w:tcPr>
          <w:p w14:paraId="3D5F4884" w14:textId="1EC6C313" w:rsidR="004B2D2A" w:rsidRDefault="004B2D2A"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0B6DBBC9" w14:textId="692D37B8" w:rsidR="004B2D2A" w:rsidRDefault="004B2D2A" w:rsidP="002B1DCE">
            <w:pPr>
              <w:spacing w:after="0"/>
              <w:rPr>
                <w:rFonts w:ascii="Arial" w:hAnsi="Arial" w:cs="Arial"/>
                <w:bCs/>
                <w:sz w:val="18"/>
                <w:szCs w:val="18"/>
                <w:lang w:val="en-GB"/>
              </w:rPr>
            </w:pPr>
            <w:r>
              <w:rPr>
                <w:rFonts w:ascii="Arial" w:hAnsi="Arial" w:cs="Arial"/>
                <w:bCs/>
                <w:sz w:val="18"/>
                <w:szCs w:val="18"/>
                <w:lang w:val="en-GB"/>
              </w:rPr>
              <w:t>Ch. 8</w:t>
            </w:r>
          </w:p>
        </w:tc>
      </w:tr>
      <w:tr w:rsidR="00C111A6" w:rsidRPr="00DD6FA8" w14:paraId="329B3BD3" w14:textId="77777777" w:rsidTr="00B37B39">
        <w:trPr>
          <w:trHeight w:val="312"/>
        </w:trPr>
        <w:tc>
          <w:tcPr>
            <w:tcW w:w="3024" w:type="pct"/>
            <w:tcMar>
              <w:top w:w="72" w:type="dxa"/>
              <w:left w:w="115" w:type="dxa"/>
              <w:bottom w:w="72" w:type="dxa"/>
              <w:right w:w="115" w:type="dxa"/>
            </w:tcMar>
          </w:tcPr>
          <w:p w14:paraId="3F8918CB" w14:textId="342194D6" w:rsidR="00C111A6" w:rsidRDefault="00C111A6" w:rsidP="002B1DCE">
            <w:pPr>
              <w:tabs>
                <w:tab w:val="left" w:pos="190"/>
              </w:tabs>
              <w:spacing w:after="0"/>
              <w:rPr>
                <w:rFonts w:ascii="Arial" w:hAnsi="Arial" w:cs="Arial"/>
                <w:sz w:val="18"/>
                <w:szCs w:val="18"/>
                <w:lang w:val="en-GB"/>
              </w:rPr>
            </w:pPr>
            <w:r>
              <w:rPr>
                <w:rFonts w:ascii="Arial" w:hAnsi="Arial" w:cs="Arial"/>
                <w:sz w:val="18"/>
                <w:szCs w:val="18"/>
                <w:lang w:val="en-GB"/>
              </w:rPr>
              <w:t>MID-TERM TEST</w:t>
            </w:r>
          </w:p>
        </w:tc>
        <w:tc>
          <w:tcPr>
            <w:tcW w:w="677" w:type="pct"/>
            <w:tcMar>
              <w:top w:w="72" w:type="dxa"/>
              <w:left w:w="115" w:type="dxa"/>
              <w:bottom w:w="72" w:type="dxa"/>
              <w:right w:w="115" w:type="dxa"/>
            </w:tcMar>
            <w:vAlign w:val="center"/>
          </w:tcPr>
          <w:p w14:paraId="0988E8E9" w14:textId="0757B548" w:rsidR="00C111A6" w:rsidRDefault="00C111A6" w:rsidP="002B1DCE">
            <w:pPr>
              <w:spacing w:after="0"/>
              <w:jc w:val="center"/>
              <w:rPr>
                <w:rFonts w:ascii="Arial" w:hAnsi="Arial" w:cs="Arial"/>
                <w:bCs/>
                <w:sz w:val="18"/>
                <w:szCs w:val="18"/>
              </w:rPr>
            </w:pPr>
            <w:r>
              <w:rPr>
                <w:rFonts w:ascii="Arial" w:hAnsi="Arial" w:cs="Arial"/>
                <w:bCs/>
                <w:sz w:val="18"/>
                <w:szCs w:val="18"/>
              </w:rPr>
              <w:t>2</w:t>
            </w:r>
          </w:p>
        </w:tc>
        <w:tc>
          <w:tcPr>
            <w:tcW w:w="1299" w:type="pct"/>
            <w:tcBorders>
              <w:bottom w:val="single" w:sz="4" w:space="0" w:color="auto"/>
            </w:tcBorders>
            <w:tcMar>
              <w:top w:w="72" w:type="dxa"/>
              <w:left w:w="115" w:type="dxa"/>
              <w:bottom w:w="72" w:type="dxa"/>
              <w:right w:w="115" w:type="dxa"/>
            </w:tcMar>
          </w:tcPr>
          <w:p w14:paraId="645BD8DB" w14:textId="77777777" w:rsidR="00C111A6" w:rsidRDefault="00C111A6" w:rsidP="002B1DCE">
            <w:pPr>
              <w:spacing w:after="0"/>
              <w:rPr>
                <w:rFonts w:ascii="Arial" w:hAnsi="Arial" w:cs="Arial"/>
                <w:bCs/>
                <w:sz w:val="18"/>
                <w:szCs w:val="18"/>
                <w:lang w:val="en-GB"/>
              </w:rPr>
            </w:pPr>
          </w:p>
        </w:tc>
      </w:tr>
      <w:tr w:rsidR="001B6701" w:rsidRPr="00DD6FA8" w14:paraId="7F3D5EAD" w14:textId="77777777" w:rsidTr="00B37B39">
        <w:trPr>
          <w:trHeight w:val="312"/>
        </w:trPr>
        <w:tc>
          <w:tcPr>
            <w:tcW w:w="3024" w:type="pct"/>
            <w:tcMar>
              <w:top w:w="72" w:type="dxa"/>
              <w:left w:w="115" w:type="dxa"/>
              <w:bottom w:w="72" w:type="dxa"/>
              <w:right w:w="115" w:type="dxa"/>
            </w:tcMar>
          </w:tcPr>
          <w:p w14:paraId="7618E0FF" w14:textId="22E2D520" w:rsidR="001B6701" w:rsidRDefault="001B6701" w:rsidP="002B1DCE">
            <w:pPr>
              <w:tabs>
                <w:tab w:val="left" w:pos="190"/>
              </w:tabs>
              <w:spacing w:after="0"/>
              <w:rPr>
                <w:rFonts w:ascii="Arial" w:hAnsi="Arial" w:cs="Arial"/>
                <w:sz w:val="18"/>
                <w:szCs w:val="18"/>
                <w:lang w:val="en-GB"/>
              </w:rPr>
            </w:pPr>
            <w:r>
              <w:rPr>
                <w:rFonts w:ascii="Arial" w:hAnsi="Arial" w:cs="Arial"/>
                <w:sz w:val="18"/>
                <w:szCs w:val="18"/>
                <w:lang w:val="en-GB"/>
              </w:rPr>
              <w:t>Capital structure: Modigliani-Miller, WACC</w:t>
            </w:r>
          </w:p>
        </w:tc>
        <w:tc>
          <w:tcPr>
            <w:tcW w:w="677" w:type="pct"/>
            <w:tcMar>
              <w:top w:w="72" w:type="dxa"/>
              <w:left w:w="115" w:type="dxa"/>
              <w:bottom w:w="72" w:type="dxa"/>
              <w:right w:w="115" w:type="dxa"/>
            </w:tcMar>
            <w:vAlign w:val="center"/>
          </w:tcPr>
          <w:p w14:paraId="337C9C3C" w14:textId="7316F873" w:rsidR="001B6701" w:rsidRDefault="001B6701"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4E827E8A" w14:textId="3D77F687" w:rsidR="001B6701" w:rsidRDefault="008C6E28" w:rsidP="002B1DCE">
            <w:pPr>
              <w:spacing w:after="0"/>
              <w:rPr>
                <w:rFonts w:ascii="Arial" w:hAnsi="Arial" w:cs="Arial"/>
                <w:bCs/>
                <w:sz w:val="18"/>
                <w:szCs w:val="18"/>
                <w:lang w:val="en-GB"/>
              </w:rPr>
            </w:pPr>
            <w:r>
              <w:rPr>
                <w:rFonts w:ascii="Arial" w:hAnsi="Arial" w:cs="Arial"/>
                <w:bCs/>
                <w:sz w:val="18"/>
                <w:szCs w:val="18"/>
                <w:lang w:val="en-GB"/>
              </w:rPr>
              <w:t>Ch. 15</w:t>
            </w:r>
          </w:p>
        </w:tc>
      </w:tr>
      <w:tr w:rsidR="002B1DCE" w:rsidRPr="00DD6FA8" w14:paraId="4F18E7E2" w14:textId="77777777" w:rsidTr="00B37B39">
        <w:trPr>
          <w:trHeight w:val="312"/>
        </w:trPr>
        <w:tc>
          <w:tcPr>
            <w:tcW w:w="3024" w:type="pct"/>
            <w:tcMar>
              <w:top w:w="72" w:type="dxa"/>
              <w:left w:w="115" w:type="dxa"/>
              <w:bottom w:w="72" w:type="dxa"/>
              <w:right w:w="115" w:type="dxa"/>
            </w:tcMar>
          </w:tcPr>
          <w:p w14:paraId="5A1DECE2" w14:textId="3B33392A" w:rsidR="002B1DCE" w:rsidRPr="00DD6FA8" w:rsidRDefault="002B1DCE" w:rsidP="002B1DCE">
            <w:pPr>
              <w:spacing w:after="0"/>
              <w:rPr>
                <w:rFonts w:ascii="Arial" w:hAnsi="Arial" w:cs="Arial"/>
                <w:bCs/>
                <w:sz w:val="18"/>
                <w:szCs w:val="18"/>
              </w:rPr>
            </w:pPr>
            <w:r>
              <w:rPr>
                <w:rFonts w:ascii="Arial" w:hAnsi="Arial" w:cs="Arial"/>
                <w:sz w:val="18"/>
                <w:szCs w:val="18"/>
                <w:lang w:val="en-GB"/>
              </w:rPr>
              <w:t>Capital structure in imperfect markets</w:t>
            </w:r>
          </w:p>
        </w:tc>
        <w:tc>
          <w:tcPr>
            <w:tcW w:w="677" w:type="pct"/>
            <w:tcMar>
              <w:top w:w="72" w:type="dxa"/>
              <w:left w:w="115" w:type="dxa"/>
              <w:bottom w:w="72" w:type="dxa"/>
              <w:right w:w="115" w:type="dxa"/>
            </w:tcMar>
            <w:vAlign w:val="center"/>
          </w:tcPr>
          <w:p w14:paraId="59930926" w14:textId="5AADA834"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78D2EE9D" w14:textId="07955F10" w:rsidR="002B1DCE" w:rsidRPr="00DD6FA8" w:rsidRDefault="002B1DCE" w:rsidP="002B1DCE">
            <w:pPr>
              <w:spacing w:after="0"/>
              <w:rPr>
                <w:rFonts w:ascii="Arial" w:hAnsi="Arial" w:cs="Arial"/>
                <w:bCs/>
                <w:sz w:val="18"/>
                <w:szCs w:val="18"/>
              </w:rPr>
            </w:pPr>
            <w:r>
              <w:rPr>
                <w:rFonts w:ascii="Arial" w:hAnsi="Arial" w:cs="Arial"/>
                <w:bCs/>
                <w:sz w:val="18"/>
                <w:szCs w:val="18"/>
                <w:lang w:val="en-GB"/>
              </w:rPr>
              <w:t>Ch. 16</w:t>
            </w:r>
          </w:p>
        </w:tc>
      </w:tr>
      <w:tr w:rsidR="002B1DCE" w:rsidRPr="00DD6FA8" w14:paraId="6A68ECFE" w14:textId="77777777" w:rsidTr="00B37B39">
        <w:trPr>
          <w:trHeight w:val="312"/>
        </w:trPr>
        <w:tc>
          <w:tcPr>
            <w:tcW w:w="3024" w:type="pct"/>
            <w:tcMar>
              <w:top w:w="72" w:type="dxa"/>
              <w:left w:w="115" w:type="dxa"/>
              <w:bottom w:w="72" w:type="dxa"/>
              <w:right w:w="115" w:type="dxa"/>
            </w:tcMar>
          </w:tcPr>
          <w:p w14:paraId="408E47AC" w14:textId="18DEA4A4" w:rsidR="002B1DCE" w:rsidRPr="00DD6FA8" w:rsidRDefault="002B1DCE" w:rsidP="002B1DCE">
            <w:pPr>
              <w:spacing w:after="0"/>
              <w:rPr>
                <w:rFonts w:ascii="Arial" w:hAnsi="Arial" w:cs="Arial"/>
                <w:bCs/>
                <w:sz w:val="18"/>
                <w:szCs w:val="18"/>
              </w:rPr>
            </w:pPr>
            <w:r>
              <w:rPr>
                <w:rFonts w:ascii="Arial" w:hAnsi="Arial" w:cs="Arial"/>
                <w:sz w:val="18"/>
                <w:szCs w:val="18"/>
                <w:lang w:val="en-GB"/>
              </w:rPr>
              <w:t>Equity and debt financing</w:t>
            </w:r>
          </w:p>
        </w:tc>
        <w:tc>
          <w:tcPr>
            <w:tcW w:w="677" w:type="pct"/>
            <w:tcMar>
              <w:top w:w="72" w:type="dxa"/>
              <w:left w:w="115" w:type="dxa"/>
              <w:bottom w:w="72" w:type="dxa"/>
              <w:right w:w="115" w:type="dxa"/>
            </w:tcMar>
            <w:vAlign w:val="center"/>
          </w:tcPr>
          <w:p w14:paraId="654774BD" w14:textId="531AB379" w:rsidR="002B1DCE" w:rsidRPr="00DD6FA8" w:rsidRDefault="002B1DCE" w:rsidP="002B1DCE">
            <w:pPr>
              <w:spacing w:after="0"/>
              <w:jc w:val="center"/>
              <w:rPr>
                <w:rFonts w:ascii="Arial" w:hAnsi="Arial" w:cs="Arial"/>
                <w:bCs/>
                <w:sz w:val="18"/>
                <w:szCs w:val="18"/>
              </w:rPr>
            </w:pPr>
            <w:r>
              <w:rPr>
                <w:rFonts w:ascii="Arial" w:hAnsi="Arial" w:cs="Arial"/>
                <w:bCs/>
                <w:sz w:val="18"/>
                <w:szCs w:val="18"/>
              </w:rPr>
              <w:t>4</w:t>
            </w:r>
          </w:p>
        </w:tc>
        <w:tc>
          <w:tcPr>
            <w:tcW w:w="1299" w:type="pct"/>
            <w:tcBorders>
              <w:bottom w:val="single" w:sz="4" w:space="0" w:color="auto"/>
            </w:tcBorders>
            <w:tcMar>
              <w:top w:w="72" w:type="dxa"/>
              <w:left w:w="115" w:type="dxa"/>
              <w:bottom w:w="72" w:type="dxa"/>
              <w:right w:w="115" w:type="dxa"/>
            </w:tcMar>
          </w:tcPr>
          <w:p w14:paraId="015664E2" w14:textId="4C8BD3D6" w:rsidR="002B1DCE" w:rsidRPr="00DD6FA8" w:rsidRDefault="002B1DCE" w:rsidP="002B1DCE">
            <w:pPr>
              <w:spacing w:after="0"/>
              <w:rPr>
                <w:rFonts w:ascii="Arial" w:hAnsi="Arial" w:cs="Arial"/>
                <w:bCs/>
                <w:sz w:val="18"/>
                <w:szCs w:val="18"/>
              </w:rPr>
            </w:pPr>
            <w:r>
              <w:rPr>
                <w:rFonts w:ascii="Arial" w:hAnsi="Arial" w:cs="Arial"/>
                <w:bCs/>
                <w:sz w:val="18"/>
                <w:szCs w:val="18"/>
                <w:lang w:val="en-GB"/>
              </w:rPr>
              <w:t>Ch. 19, 20</w:t>
            </w:r>
          </w:p>
        </w:tc>
      </w:tr>
      <w:tr w:rsidR="002B1DCE" w:rsidRPr="00DD6FA8" w14:paraId="262F694E" w14:textId="77777777" w:rsidTr="00B37B39">
        <w:trPr>
          <w:trHeight w:val="312"/>
        </w:trPr>
        <w:tc>
          <w:tcPr>
            <w:tcW w:w="3024" w:type="pct"/>
            <w:tcMar>
              <w:top w:w="72" w:type="dxa"/>
              <w:left w:w="115" w:type="dxa"/>
              <w:bottom w:w="72" w:type="dxa"/>
              <w:right w:w="115" w:type="dxa"/>
            </w:tcMar>
          </w:tcPr>
          <w:p w14:paraId="3B3A511C" w14:textId="70368B87" w:rsidR="002B1DCE" w:rsidRPr="002B1DCE" w:rsidRDefault="002B1DCE" w:rsidP="002B1DCE">
            <w:pPr>
              <w:spacing w:before="120"/>
              <w:rPr>
                <w:rFonts w:ascii="Arial" w:hAnsi="Arial" w:cs="Arial"/>
                <w:sz w:val="18"/>
                <w:szCs w:val="18"/>
                <w:lang w:val="en-GB"/>
              </w:rPr>
            </w:pPr>
            <w:r>
              <w:rPr>
                <w:rFonts w:ascii="Arial" w:hAnsi="Arial" w:cs="Arial"/>
                <w:sz w:val="18"/>
                <w:szCs w:val="18"/>
                <w:lang w:val="en-GB"/>
              </w:rPr>
              <w:t>Corporate valuation</w:t>
            </w:r>
          </w:p>
        </w:tc>
        <w:tc>
          <w:tcPr>
            <w:tcW w:w="677" w:type="pct"/>
            <w:tcMar>
              <w:top w:w="72" w:type="dxa"/>
              <w:left w:w="115" w:type="dxa"/>
              <w:bottom w:w="72" w:type="dxa"/>
              <w:right w:w="115" w:type="dxa"/>
            </w:tcMar>
            <w:vAlign w:val="center"/>
          </w:tcPr>
          <w:p w14:paraId="728C7D11" w14:textId="52FB2A1B" w:rsidR="002B1DCE" w:rsidRPr="00DD6FA8" w:rsidRDefault="002B1DCE" w:rsidP="002B1DCE">
            <w:pPr>
              <w:spacing w:after="0"/>
              <w:jc w:val="center"/>
              <w:rPr>
                <w:rFonts w:ascii="Arial" w:hAnsi="Arial" w:cs="Arial"/>
                <w:bCs/>
                <w:sz w:val="18"/>
                <w:szCs w:val="18"/>
              </w:rPr>
            </w:pPr>
            <w:r>
              <w:rPr>
                <w:rFonts w:ascii="Arial" w:hAnsi="Arial" w:cs="Arial"/>
                <w:bCs/>
                <w:sz w:val="18"/>
                <w:szCs w:val="18"/>
              </w:rPr>
              <w:t>12</w:t>
            </w:r>
          </w:p>
        </w:tc>
        <w:tc>
          <w:tcPr>
            <w:tcW w:w="1299" w:type="pct"/>
            <w:tcBorders>
              <w:bottom w:val="single" w:sz="4" w:space="0" w:color="auto"/>
            </w:tcBorders>
            <w:tcMar>
              <w:top w:w="72" w:type="dxa"/>
              <w:left w:w="115" w:type="dxa"/>
              <w:bottom w:w="72" w:type="dxa"/>
              <w:right w:w="115" w:type="dxa"/>
            </w:tcMar>
          </w:tcPr>
          <w:p w14:paraId="12A6DB15" w14:textId="38A17B19" w:rsidR="002B1DCE" w:rsidRPr="00DD6FA8" w:rsidRDefault="002B1DCE" w:rsidP="002B1DCE">
            <w:pPr>
              <w:spacing w:after="0"/>
              <w:rPr>
                <w:rFonts w:ascii="Arial" w:hAnsi="Arial" w:cs="Arial"/>
                <w:bCs/>
                <w:sz w:val="18"/>
                <w:szCs w:val="18"/>
              </w:rPr>
            </w:pPr>
            <w:r>
              <w:rPr>
                <w:rFonts w:ascii="Arial" w:hAnsi="Arial" w:cs="Arial"/>
                <w:bCs/>
                <w:sz w:val="18"/>
                <w:szCs w:val="18"/>
                <w:lang w:val="en-GB"/>
              </w:rPr>
              <w:t>Handouts</w:t>
            </w:r>
          </w:p>
        </w:tc>
      </w:tr>
      <w:tr w:rsidR="00105026" w:rsidRPr="00DD6FA8" w14:paraId="0185B734" w14:textId="77777777" w:rsidTr="00B37B39">
        <w:trPr>
          <w:trHeight w:val="312"/>
        </w:trPr>
        <w:tc>
          <w:tcPr>
            <w:tcW w:w="3024" w:type="pct"/>
            <w:tcMar>
              <w:top w:w="72" w:type="dxa"/>
              <w:left w:w="115" w:type="dxa"/>
              <w:bottom w:w="72" w:type="dxa"/>
              <w:right w:w="115" w:type="dxa"/>
            </w:tcMar>
            <w:vAlign w:val="center"/>
          </w:tcPr>
          <w:p w14:paraId="0410C89D" w14:textId="55449F27" w:rsidR="00105026" w:rsidRPr="00DD6FA8" w:rsidRDefault="00105026" w:rsidP="00105026">
            <w:pPr>
              <w:spacing w:after="0"/>
              <w:rPr>
                <w:rFonts w:ascii="Arial" w:hAnsi="Arial" w:cs="Arial"/>
                <w:color w:val="000000"/>
                <w:sz w:val="18"/>
                <w:szCs w:val="18"/>
              </w:rPr>
            </w:pPr>
          </w:p>
        </w:tc>
        <w:tc>
          <w:tcPr>
            <w:tcW w:w="677" w:type="pct"/>
            <w:tcMar>
              <w:top w:w="72" w:type="dxa"/>
              <w:left w:w="115" w:type="dxa"/>
              <w:bottom w:w="72" w:type="dxa"/>
              <w:right w:w="115" w:type="dxa"/>
            </w:tcMar>
            <w:vAlign w:val="center"/>
          </w:tcPr>
          <w:p w14:paraId="2275E763" w14:textId="28A18162" w:rsidR="00105026" w:rsidRPr="00DD6FA8" w:rsidRDefault="00105026" w:rsidP="00105026">
            <w:pPr>
              <w:spacing w:after="0"/>
              <w:jc w:val="center"/>
              <w:rPr>
                <w:rFonts w:ascii="Arial" w:hAnsi="Arial" w:cs="Arial"/>
                <w:bCs/>
                <w:sz w:val="18"/>
                <w:szCs w:val="18"/>
              </w:rPr>
            </w:pPr>
            <w:r w:rsidRPr="00DD6FA8">
              <w:rPr>
                <w:rFonts w:ascii="Arial" w:hAnsi="Arial" w:cs="Arial"/>
                <w:b/>
                <w:bCs/>
                <w:sz w:val="18"/>
                <w:szCs w:val="18"/>
              </w:rPr>
              <w:t>Total: 48 hours</w:t>
            </w:r>
          </w:p>
        </w:tc>
        <w:tc>
          <w:tcPr>
            <w:tcW w:w="1299" w:type="pct"/>
            <w:tcMar>
              <w:top w:w="72" w:type="dxa"/>
              <w:left w:w="115" w:type="dxa"/>
              <w:bottom w:w="72" w:type="dxa"/>
              <w:right w:w="115" w:type="dxa"/>
            </w:tcMar>
            <w:vAlign w:val="center"/>
          </w:tcPr>
          <w:p w14:paraId="203A8ED1" w14:textId="082FB4D6" w:rsidR="00105026" w:rsidRPr="00DD6FA8" w:rsidRDefault="00105026" w:rsidP="00105026">
            <w:pPr>
              <w:spacing w:after="0"/>
              <w:rPr>
                <w:rFonts w:ascii="Arial" w:hAnsi="Arial" w:cs="Arial"/>
                <w:bCs/>
                <w:sz w:val="18"/>
                <w:szCs w:val="18"/>
              </w:rPr>
            </w:pPr>
          </w:p>
        </w:tc>
      </w:tr>
      <w:tr w:rsidR="00105026" w:rsidRPr="00DD6FA8" w14:paraId="7F624E42" w14:textId="77777777" w:rsidTr="00B37B39">
        <w:trPr>
          <w:trHeight w:val="312"/>
        </w:trPr>
        <w:tc>
          <w:tcPr>
            <w:tcW w:w="3024" w:type="pct"/>
            <w:tcMar>
              <w:top w:w="72" w:type="dxa"/>
              <w:left w:w="115" w:type="dxa"/>
              <w:bottom w:w="72" w:type="dxa"/>
              <w:right w:w="115" w:type="dxa"/>
            </w:tcMar>
            <w:vAlign w:val="center"/>
          </w:tcPr>
          <w:p w14:paraId="05FF9E2E" w14:textId="52C2A7B5" w:rsidR="00105026" w:rsidRPr="00DD6FA8" w:rsidRDefault="00105026" w:rsidP="00105026">
            <w:pPr>
              <w:spacing w:after="0"/>
              <w:rPr>
                <w:rFonts w:ascii="Arial" w:hAnsi="Arial" w:cs="Arial"/>
                <w:color w:val="000000"/>
                <w:sz w:val="18"/>
                <w:szCs w:val="18"/>
              </w:rPr>
            </w:pPr>
            <w:r w:rsidRPr="00DD6FA8">
              <w:rPr>
                <w:rFonts w:ascii="Arial" w:hAnsi="Arial" w:cs="Arial"/>
                <w:sz w:val="18"/>
                <w:szCs w:val="18"/>
              </w:rPr>
              <w:t>CONSULTATIONS</w:t>
            </w:r>
          </w:p>
        </w:tc>
        <w:tc>
          <w:tcPr>
            <w:tcW w:w="677" w:type="pct"/>
            <w:tcMar>
              <w:top w:w="72" w:type="dxa"/>
              <w:left w:w="115" w:type="dxa"/>
              <w:bottom w:w="72" w:type="dxa"/>
              <w:right w:w="115" w:type="dxa"/>
            </w:tcMar>
            <w:vAlign w:val="center"/>
          </w:tcPr>
          <w:p w14:paraId="3A63F62C" w14:textId="602889E0"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6</w:t>
            </w:r>
          </w:p>
        </w:tc>
        <w:tc>
          <w:tcPr>
            <w:tcW w:w="1299" w:type="pct"/>
            <w:tcMar>
              <w:top w:w="72" w:type="dxa"/>
              <w:left w:w="115" w:type="dxa"/>
              <w:bottom w:w="72" w:type="dxa"/>
              <w:right w:w="115" w:type="dxa"/>
            </w:tcMar>
            <w:vAlign w:val="center"/>
          </w:tcPr>
          <w:p w14:paraId="27E7B6F3" w14:textId="77777777" w:rsidR="00105026" w:rsidRPr="00DD6FA8" w:rsidRDefault="00105026" w:rsidP="00105026">
            <w:pPr>
              <w:spacing w:after="0"/>
              <w:rPr>
                <w:rFonts w:ascii="Arial" w:hAnsi="Arial" w:cs="Arial"/>
                <w:bCs/>
                <w:sz w:val="18"/>
                <w:szCs w:val="18"/>
              </w:rPr>
            </w:pPr>
          </w:p>
        </w:tc>
      </w:tr>
      <w:tr w:rsidR="00105026" w:rsidRPr="00DD6FA8" w14:paraId="4D796756" w14:textId="77777777" w:rsidTr="00B37B39">
        <w:trPr>
          <w:trHeight w:val="312"/>
        </w:trPr>
        <w:tc>
          <w:tcPr>
            <w:tcW w:w="3024" w:type="pct"/>
            <w:tcMar>
              <w:top w:w="72" w:type="dxa"/>
              <w:left w:w="115" w:type="dxa"/>
              <w:bottom w:w="72" w:type="dxa"/>
              <w:right w:w="115" w:type="dxa"/>
            </w:tcMar>
            <w:vAlign w:val="center"/>
          </w:tcPr>
          <w:p w14:paraId="7D5F25E4" w14:textId="10A8A665" w:rsidR="00105026" w:rsidRPr="00DD6FA8" w:rsidRDefault="00105026" w:rsidP="00105026">
            <w:pPr>
              <w:spacing w:after="0"/>
              <w:rPr>
                <w:rFonts w:ascii="Arial" w:hAnsi="Arial" w:cs="Arial"/>
                <w:color w:val="000000"/>
                <w:sz w:val="18"/>
                <w:szCs w:val="18"/>
              </w:rPr>
            </w:pPr>
            <w:r w:rsidRPr="00DD6FA8">
              <w:rPr>
                <w:rFonts w:ascii="Arial" w:hAnsi="Arial" w:cs="Arial"/>
                <w:color w:val="000000"/>
                <w:sz w:val="18"/>
                <w:szCs w:val="18"/>
              </w:rPr>
              <w:t>FINAL EXAM</w:t>
            </w:r>
          </w:p>
        </w:tc>
        <w:tc>
          <w:tcPr>
            <w:tcW w:w="677" w:type="pct"/>
            <w:tcMar>
              <w:top w:w="72" w:type="dxa"/>
              <w:left w:w="115" w:type="dxa"/>
              <w:bottom w:w="72" w:type="dxa"/>
              <w:right w:w="115" w:type="dxa"/>
            </w:tcMar>
            <w:vAlign w:val="center"/>
          </w:tcPr>
          <w:p w14:paraId="463D9656" w14:textId="741A7BD2"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2</w:t>
            </w:r>
          </w:p>
        </w:tc>
        <w:tc>
          <w:tcPr>
            <w:tcW w:w="1299" w:type="pct"/>
            <w:tcMar>
              <w:top w:w="72" w:type="dxa"/>
              <w:left w:w="115" w:type="dxa"/>
              <w:bottom w:w="72" w:type="dxa"/>
              <w:right w:w="115" w:type="dxa"/>
            </w:tcMar>
            <w:vAlign w:val="center"/>
          </w:tcPr>
          <w:p w14:paraId="43BD3A7B" w14:textId="77777777" w:rsidR="00105026" w:rsidRPr="00DD6FA8" w:rsidRDefault="00105026" w:rsidP="00105026">
            <w:pPr>
              <w:spacing w:after="0"/>
              <w:rPr>
                <w:rFonts w:ascii="Arial" w:hAnsi="Arial" w:cs="Arial"/>
                <w:bCs/>
                <w:sz w:val="18"/>
                <w:szCs w:val="18"/>
              </w:rPr>
            </w:pPr>
          </w:p>
        </w:tc>
      </w:tr>
    </w:tbl>
    <w:p w14:paraId="3C8E1C77" w14:textId="77777777" w:rsidR="004E466C" w:rsidRDefault="004E466C" w:rsidP="004E466C">
      <w:pPr>
        <w:spacing w:after="0" w:line="240" w:lineRule="auto"/>
        <w:rPr>
          <w:rFonts w:ascii="Arial" w:hAnsi="Arial" w:cs="Arial"/>
          <w:b/>
          <w:sz w:val="18"/>
          <w:szCs w:val="18"/>
        </w:rPr>
      </w:pPr>
    </w:p>
    <w:p w14:paraId="0338EC7E" w14:textId="6777A6FB" w:rsidR="004E466C" w:rsidRPr="00DD6FA8" w:rsidRDefault="004E466C" w:rsidP="004E466C">
      <w:pPr>
        <w:spacing w:after="0" w:line="240" w:lineRule="auto"/>
        <w:rPr>
          <w:rFonts w:ascii="Arial" w:hAnsi="Arial" w:cs="Arial"/>
          <w:b/>
          <w:sz w:val="18"/>
          <w:szCs w:val="18"/>
        </w:rPr>
      </w:pPr>
      <w:r>
        <w:rPr>
          <w:rFonts w:ascii="Arial" w:hAnsi="Arial" w:cs="Arial"/>
          <w:b/>
          <w:sz w:val="18"/>
          <w:szCs w:val="18"/>
        </w:rPr>
        <w:t>F</w:t>
      </w:r>
      <w:r w:rsidRPr="00DD6FA8">
        <w:rPr>
          <w:rFonts w:ascii="Arial" w:hAnsi="Arial" w:cs="Arial"/>
          <w:b/>
          <w:sz w:val="18"/>
          <w:szCs w:val="18"/>
        </w:rPr>
        <w:t>INAL GRADE COMPOSITION</w:t>
      </w:r>
    </w:p>
    <w:p w14:paraId="39D556A5" w14:textId="77777777" w:rsidR="004E466C" w:rsidRPr="00DD6FA8" w:rsidRDefault="004E466C" w:rsidP="004E466C">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4E466C" w:rsidRPr="00DD6FA8" w14:paraId="077AD8C0" w14:textId="77777777" w:rsidTr="002C4DE4">
        <w:trPr>
          <w:trHeight w:val="411"/>
        </w:trPr>
        <w:tc>
          <w:tcPr>
            <w:tcW w:w="3270" w:type="pct"/>
            <w:tcMar>
              <w:top w:w="29" w:type="dxa"/>
              <w:left w:w="115" w:type="dxa"/>
              <w:bottom w:w="29" w:type="dxa"/>
              <w:right w:w="115" w:type="dxa"/>
            </w:tcMar>
            <w:vAlign w:val="center"/>
          </w:tcPr>
          <w:p w14:paraId="4869CC9D" w14:textId="77777777" w:rsidR="004E466C" w:rsidRPr="00DD6FA8" w:rsidRDefault="004E466C" w:rsidP="002C4DE4">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DDB774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w:t>
            </w:r>
          </w:p>
        </w:tc>
      </w:tr>
      <w:tr w:rsidR="004E466C" w:rsidRPr="00DD6FA8" w14:paraId="6AA448E5" w14:textId="77777777" w:rsidTr="002C4DE4">
        <w:trPr>
          <w:trHeight w:val="125"/>
        </w:trPr>
        <w:tc>
          <w:tcPr>
            <w:tcW w:w="3270" w:type="pct"/>
            <w:tcMar>
              <w:top w:w="29" w:type="dxa"/>
              <w:left w:w="115" w:type="dxa"/>
              <w:bottom w:w="29" w:type="dxa"/>
              <w:right w:w="115" w:type="dxa"/>
            </w:tcMar>
            <w:vAlign w:val="center"/>
          </w:tcPr>
          <w:p w14:paraId="0ED9F2F4" w14:textId="43EEDE02" w:rsidR="004E466C" w:rsidRPr="00DD6FA8" w:rsidRDefault="004E466C" w:rsidP="002C4DE4">
            <w:pPr>
              <w:spacing w:before="120" w:after="0"/>
              <w:rPr>
                <w:rFonts w:ascii="Arial" w:hAnsi="Arial" w:cs="Arial"/>
                <w:bCs/>
                <w:sz w:val="18"/>
                <w:szCs w:val="18"/>
              </w:rPr>
            </w:pPr>
            <w:r w:rsidRPr="00DD6FA8">
              <w:rPr>
                <w:rFonts w:ascii="Arial" w:hAnsi="Arial" w:cs="Arial"/>
                <w:i/>
                <w:sz w:val="18"/>
                <w:szCs w:val="18"/>
              </w:rPr>
              <w:t xml:space="preserve">Group Components </w:t>
            </w:r>
            <w:r w:rsidR="00781ED9">
              <w:rPr>
                <w:rFonts w:ascii="Arial" w:hAnsi="Arial" w:cs="Arial"/>
                <w:i/>
                <w:sz w:val="18"/>
                <w:szCs w:val="18"/>
              </w:rPr>
              <w:t>3</w:t>
            </w:r>
            <w:r w:rsidRPr="004E466C">
              <w:rPr>
                <w:rFonts w:ascii="Arial" w:hAnsi="Arial" w:cs="Arial"/>
                <w:i/>
                <w:sz w:val="18"/>
                <w:szCs w:val="18"/>
              </w:rPr>
              <w:t>0%</w:t>
            </w:r>
          </w:p>
        </w:tc>
        <w:tc>
          <w:tcPr>
            <w:tcW w:w="1730" w:type="pct"/>
            <w:tcMar>
              <w:top w:w="29" w:type="dxa"/>
              <w:left w:w="115" w:type="dxa"/>
              <w:bottom w:w="29" w:type="dxa"/>
              <w:right w:w="115" w:type="dxa"/>
            </w:tcMar>
            <w:vAlign w:val="center"/>
          </w:tcPr>
          <w:p w14:paraId="5A4A2CC4" w14:textId="77777777" w:rsidR="004E466C" w:rsidRPr="00424EDE" w:rsidRDefault="004E466C" w:rsidP="002C4DE4">
            <w:pPr>
              <w:spacing w:before="120" w:after="0"/>
              <w:jc w:val="center"/>
              <w:rPr>
                <w:rFonts w:ascii="Arial" w:hAnsi="Arial" w:cs="Arial"/>
                <w:b/>
                <w:sz w:val="18"/>
                <w:szCs w:val="18"/>
              </w:rPr>
            </w:pPr>
          </w:p>
        </w:tc>
      </w:tr>
      <w:tr w:rsidR="004E466C" w:rsidRPr="00DD6FA8" w14:paraId="5AE2E28C" w14:textId="77777777" w:rsidTr="002C4DE4">
        <w:trPr>
          <w:trHeight w:val="168"/>
        </w:trPr>
        <w:tc>
          <w:tcPr>
            <w:tcW w:w="3270" w:type="pct"/>
            <w:tcMar>
              <w:top w:w="29" w:type="dxa"/>
              <w:left w:w="115" w:type="dxa"/>
              <w:bottom w:w="29" w:type="dxa"/>
              <w:right w:w="115" w:type="dxa"/>
            </w:tcMar>
            <w:vAlign w:val="center"/>
          </w:tcPr>
          <w:p w14:paraId="3B8D7666" w14:textId="63E422F2" w:rsidR="004E466C" w:rsidRPr="00DD6FA8" w:rsidRDefault="00781ED9" w:rsidP="002C4DE4">
            <w:pPr>
              <w:spacing w:before="120" w:after="0"/>
              <w:rPr>
                <w:rFonts w:ascii="Arial" w:hAnsi="Arial" w:cs="Arial"/>
                <w:iCs/>
                <w:sz w:val="18"/>
                <w:szCs w:val="18"/>
              </w:rPr>
            </w:pPr>
            <w:r>
              <w:rPr>
                <w:rFonts w:ascii="Arial" w:hAnsi="Arial" w:cs="Arial"/>
                <w:iCs/>
                <w:sz w:val="18"/>
                <w:szCs w:val="18"/>
              </w:rPr>
              <w:t>Coursework</w:t>
            </w:r>
            <w:r w:rsidR="004E466C">
              <w:rPr>
                <w:rFonts w:ascii="Arial" w:hAnsi="Arial" w:cs="Arial"/>
                <w:iCs/>
                <w:sz w:val="18"/>
                <w:szCs w:val="18"/>
              </w:rPr>
              <w:t xml:space="preserve"> </w:t>
            </w:r>
          </w:p>
        </w:tc>
        <w:tc>
          <w:tcPr>
            <w:tcW w:w="1730" w:type="pct"/>
            <w:tcMar>
              <w:top w:w="29" w:type="dxa"/>
              <w:left w:w="115" w:type="dxa"/>
              <w:bottom w:w="29" w:type="dxa"/>
              <w:right w:w="115" w:type="dxa"/>
            </w:tcMar>
            <w:vAlign w:val="center"/>
          </w:tcPr>
          <w:p w14:paraId="3D03EE89" w14:textId="0245593C" w:rsidR="004E466C" w:rsidRPr="00424EDE" w:rsidRDefault="00781ED9" w:rsidP="002C4DE4">
            <w:pPr>
              <w:spacing w:before="120" w:after="0"/>
              <w:jc w:val="center"/>
              <w:rPr>
                <w:rFonts w:ascii="Arial" w:hAnsi="Arial" w:cs="Arial"/>
                <w:iCs/>
                <w:sz w:val="18"/>
                <w:szCs w:val="18"/>
              </w:rPr>
            </w:pPr>
            <w:r>
              <w:rPr>
                <w:rFonts w:ascii="Arial" w:hAnsi="Arial" w:cs="Arial"/>
                <w:sz w:val="18"/>
                <w:szCs w:val="18"/>
              </w:rPr>
              <w:t>3</w:t>
            </w:r>
            <w:r w:rsidR="004E466C" w:rsidRPr="00424EDE">
              <w:rPr>
                <w:rFonts w:ascii="Arial" w:hAnsi="Arial" w:cs="Arial"/>
                <w:sz w:val="18"/>
                <w:szCs w:val="18"/>
              </w:rPr>
              <w:t>0%</w:t>
            </w:r>
          </w:p>
        </w:tc>
      </w:tr>
      <w:tr w:rsidR="004E466C" w:rsidRPr="00DD6FA8" w14:paraId="3C270F40" w14:textId="77777777" w:rsidTr="002C4DE4">
        <w:trPr>
          <w:trHeight w:val="245"/>
        </w:trPr>
        <w:tc>
          <w:tcPr>
            <w:tcW w:w="3270" w:type="pct"/>
            <w:tcMar>
              <w:top w:w="29" w:type="dxa"/>
              <w:left w:w="115" w:type="dxa"/>
              <w:bottom w:w="29" w:type="dxa"/>
              <w:right w:w="115" w:type="dxa"/>
            </w:tcMar>
            <w:vAlign w:val="center"/>
          </w:tcPr>
          <w:p w14:paraId="4D19FA76" w14:textId="0B1ECBDA" w:rsidR="004E466C" w:rsidRPr="00DD6FA8" w:rsidRDefault="004E466C" w:rsidP="002C4DE4">
            <w:pPr>
              <w:spacing w:before="120" w:after="0"/>
              <w:rPr>
                <w:rFonts w:ascii="Arial" w:hAnsi="Arial" w:cs="Arial"/>
                <w:i/>
                <w:sz w:val="18"/>
                <w:szCs w:val="18"/>
              </w:rPr>
            </w:pPr>
            <w:r w:rsidRPr="00DD6FA8">
              <w:rPr>
                <w:rFonts w:ascii="Arial" w:hAnsi="Arial" w:cs="Arial"/>
                <w:i/>
                <w:sz w:val="18"/>
                <w:szCs w:val="18"/>
              </w:rPr>
              <w:t xml:space="preserve">Individual Components </w:t>
            </w:r>
            <w:r w:rsidR="00781ED9">
              <w:rPr>
                <w:rFonts w:ascii="Arial" w:hAnsi="Arial" w:cs="Arial"/>
                <w:i/>
                <w:sz w:val="18"/>
                <w:szCs w:val="18"/>
              </w:rPr>
              <w:t>7</w:t>
            </w:r>
            <w:r w:rsidRPr="004E466C">
              <w:rPr>
                <w:rFonts w:ascii="Arial" w:hAnsi="Arial" w:cs="Arial"/>
                <w:i/>
                <w:sz w:val="18"/>
                <w:szCs w:val="18"/>
              </w:rPr>
              <w:t>0%</w:t>
            </w:r>
          </w:p>
        </w:tc>
        <w:tc>
          <w:tcPr>
            <w:tcW w:w="1730" w:type="pct"/>
            <w:tcMar>
              <w:top w:w="29" w:type="dxa"/>
              <w:left w:w="115" w:type="dxa"/>
              <w:bottom w:w="29" w:type="dxa"/>
              <w:right w:w="115" w:type="dxa"/>
            </w:tcMar>
            <w:vAlign w:val="center"/>
          </w:tcPr>
          <w:p w14:paraId="78AA6664" w14:textId="77777777" w:rsidR="004E466C" w:rsidRPr="00424EDE" w:rsidRDefault="004E466C" w:rsidP="002C4DE4">
            <w:pPr>
              <w:spacing w:before="120" w:after="0"/>
              <w:jc w:val="center"/>
              <w:rPr>
                <w:rFonts w:ascii="Arial" w:hAnsi="Arial" w:cs="Arial"/>
                <w:b/>
                <w:sz w:val="18"/>
                <w:szCs w:val="18"/>
              </w:rPr>
            </w:pPr>
          </w:p>
        </w:tc>
      </w:tr>
      <w:tr w:rsidR="004E466C" w:rsidRPr="00DD6FA8" w14:paraId="3D9740D0" w14:textId="77777777" w:rsidTr="002C4DE4">
        <w:trPr>
          <w:trHeight w:val="245"/>
        </w:trPr>
        <w:tc>
          <w:tcPr>
            <w:tcW w:w="3270" w:type="pct"/>
            <w:tcMar>
              <w:top w:w="29" w:type="dxa"/>
              <w:left w:w="115" w:type="dxa"/>
              <w:bottom w:w="29" w:type="dxa"/>
              <w:right w:w="115" w:type="dxa"/>
            </w:tcMar>
            <w:vAlign w:val="center"/>
          </w:tcPr>
          <w:p w14:paraId="4180ED15" w14:textId="0C23B942" w:rsidR="004E466C" w:rsidRPr="00DD6FA8" w:rsidRDefault="00781ED9" w:rsidP="002C4DE4">
            <w:pPr>
              <w:spacing w:before="120" w:after="0"/>
              <w:rPr>
                <w:rFonts w:ascii="Arial" w:hAnsi="Arial" w:cs="Arial"/>
                <w:sz w:val="18"/>
                <w:szCs w:val="18"/>
              </w:rPr>
            </w:pPr>
            <w:r>
              <w:rPr>
                <w:rFonts w:ascii="Arial" w:hAnsi="Arial" w:cs="Arial"/>
                <w:sz w:val="18"/>
                <w:szCs w:val="18"/>
              </w:rPr>
              <w:t>Midterm test</w:t>
            </w:r>
          </w:p>
        </w:tc>
        <w:tc>
          <w:tcPr>
            <w:tcW w:w="1730" w:type="pct"/>
            <w:tcMar>
              <w:top w:w="29" w:type="dxa"/>
              <w:left w:w="115" w:type="dxa"/>
              <w:bottom w:w="29" w:type="dxa"/>
              <w:right w:w="115" w:type="dxa"/>
            </w:tcMar>
            <w:vAlign w:val="center"/>
          </w:tcPr>
          <w:p w14:paraId="0A140883" w14:textId="6F52102D" w:rsidR="004E466C" w:rsidRPr="00DD6FA8" w:rsidRDefault="004E466C" w:rsidP="002C4DE4">
            <w:pPr>
              <w:spacing w:before="120" w:after="0"/>
              <w:jc w:val="center"/>
              <w:rPr>
                <w:rFonts w:ascii="Arial" w:hAnsi="Arial" w:cs="Arial"/>
                <w:sz w:val="18"/>
                <w:szCs w:val="18"/>
              </w:rPr>
            </w:pPr>
            <w:r>
              <w:rPr>
                <w:rFonts w:ascii="Arial" w:hAnsi="Arial" w:cs="Arial"/>
                <w:sz w:val="18"/>
                <w:szCs w:val="18"/>
              </w:rPr>
              <w:t>3</w:t>
            </w:r>
            <w:r w:rsidR="00EF5866">
              <w:rPr>
                <w:rFonts w:ascii="Arial" w:hAnsi="Arial" w:cs="Arial"/>
                <w:sz w:val="18"/>
                <w:szCs w:val="18"/>
              </w:rPr>
              <w:t>5</w:t>
            </w:r>
            <w:r>
              <w:rPr>
                <w:rFonts w:ascii="Arial" w:hAnsi="Arial" w:cs="Arial"/>
                <w:sz w:val="18"/>
                <w:szCs w:val="18"/>
              </w:rPr>
              <w:t>%</w:t>
            </w:r>
          </w:p>
        </w:tc>
      </w:tr>
      <w:tr w:rsidR="004E466C" w:rsidRPr="00DD6FA8" w14:paraId="646A6692" w14:textId="77777777" w:rsidTr="002C4DE4">
        <w:trPr>
          <w:trHeight w:val="245"/>
        </w:trPr>
        <w:tc>
          <w:tcPr>
            <w:tcW w:w="3270" w:type="pct"/>
            <w:tcMar>
              <w:top w:w="29" w:type="dxa"/>
              <w:left w:w="115" w:type="dxa"/>
              <w:bottom w:w="29" w:type="dxa"/>
              <w:right w:w="115" w:type="dxa"/>
            </w:tcMar>
            <w:vAlign w:val="center"/>
          </w:tcPr>
          <w:p w14:paraId="506BF0E6" w14:textId="77777777" w:rsidR="004E466C" w:rsidRPr="00424EDE" w:rsidRDefault="004E466C" w:rsidP="002C4DE4">
            <w:pPr>
              <w:spacing w:before="120" w:after="0"/>
              <w:rPr>
                <w:rFonts w:ascii="Arial" w:hAnsi="Arial" w:cs="Arial"/>
                <w:bCs/>
                <w:sz w:val="18"/>
                <w:szCs w:val="18"/>
              </w:rPr>
            </w:pPr>
            <w:r w:rsidRPr="00424EDE">
              <w:rPr>
                <w:rFonts w:ascii="Arial" w:hAnsi="Arial" w:cs="Arial"/>
                <w:bCs/>
                <w:sz w:val="18"/>
                <w:szCs w:val="18"/>
              </w:rPr>
              <w:t xml:space="preserve">Final examination </w:t>
            </w:r>
          </w:p>
        </w:tc>
        <w:tc>
          <w:tcPr>
            <w:tcW w:w="1730" w:type="pct"/>
            <w:tcMar>
              <w:top w:w="29" w:type="dxa"/>
              <w:left w:w="115" w:type="dxa"/>
              <w:bottom w:w="29" w:type="dxa"/>
              <w:right w:w="115" w:type="dxa"/>
            </w:tcMar>
            <w:vAlign w:val="center"/>
          </w:tcPr>
          <w:p w14:paraId="5805751B" w14:textId="63B8AD25" w:rsidR="004E466C" w:rsidRPr="00424EDE" w:rsidRDefault="00EF5866" w:rsidP="002C4DE4">
            <w:pPr>
              <w:spacing w:before="120" w:after="0"/>
              <w:jc w:val="center"/>
              <w:rPr>
                <w:rFonts w:ascii="Arial" w:hAnsi="Arial" w:cs="Arial"/>
                <w:bCs/>
                <w:sz w:val="18"/>
                <w:szCs w:val="18"/>
              </w:rPr>
            </w:pPr>
            <w:r>
              <w:rPr>
                <w:rFonts w:ascii="Arial" w:hAnsi="Arial" w:cs="Arial"/>
                <w:bCs/>
                <w:sz w:val="18"/>
                <w:szCs w:val="18"/>
              </w:rPr>
              <w:t>35</w:t>
            </w:r>
            <w:r w:rsidR="004E466C" w:rsidRPr="00424EDE">
              <w:rPr>
                <w:rFonts w:ascii="Arial" w:hAnsi="Arial" w:cs="Arial"/>
                <w:bCs/>
                <w:sz w:val="18"/>
                <w:szCs w:val="18"/>
              </w:rPr>
              <w:t>%</w:t>
            </w:r>
          </w:p>
        </w:tc>
      </w:tr>
      <w:tr w:rsidR="004E466C" w:rsidRPr="00DD6FA8" w14:paraId="4BF89CA4" w14:textId="77777777" w:rsidTr="002C4DE4">
        <w:trPr>
          <w:trHeight w:val="245"/>
        </w:trPr>
        <w:tc>
          <w:tcPr>
            <w:tcW w:w="3270" w:type="pct"/>
            <w:tcMar>
              <w:top w:w="29" w:type="dxa"/>
              <w:left w:w="115" w:type="dxa"/>
              <w:bottom w:w="29" w:type="dxa"/>
              <w:right w:w="115" w:type="dxa"/>
            </w:tcMar>
            <w:vAlign w:val="center"/>
          </w:tcPr>
          <w:p w14:paraId="60EDE01B" w14:textId="77777777" w:rsidR="004E466C" w:rsidRPr="00DD6FA8" w:rsidRDefault="004E466C" w:rsidP="002C4DE4">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20BB495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 xml:space="preserve">% </w:t>
            </w:r>
          </w:p>
        </w:tc>
      </w:tr>
    </w:tbl>
    <w:p w14:paraId="1B9E0EDB" w14:textId="77777777" w:rsidR="004E466C" w:rsidRPr="00DD6FA8" w:rsidRDefault="004E466C" w:rsidP="004E466C">
      <w:pPr>
        <w:spacing w:after="0" w:line="240" w:lineRule="auto"/>
        <w:rPr>
          <w:rFonts w:ascii="Arial" w:hAnsi="Arial" w:cs="Arial"/>
          <w:b/>
          <w:sz w:val="18"/>
          <w:szCs w:val="18"/>
        </w:rPr>
      </w:pPr>
    </w:p>
    <w:p w14:paraId="2F82ADBE" w14:textId="77777777" w:rsidR="0046304C" w:rsidRDefault="0046304C" w:rsidP="004E466C">
      <w:pPr>
        <w:pStyle w:val="Sraopastraipa"/>
        <w:autoSpaceDE w:val="0"/>
        <w:autoSpaceDN w:val="0"/>
        <w:adjustRightInd w:val="0"/>
        <w:spacing w:after="0" w:line="240" w:lineRule="auto"/>
        <w:ind w:left="0"/>
        <w:jc w:val="both"/>
        <w:rPr>
          <w:rFonts w:ascii="Arial" w:hAnsi="Arial" w:cs="Arial"/>
          <w:b/>
          <w:sz w:val="18"/>
          <w:szCs w:val="18"/>
        </w:rPr>
      </w:pPr>
    </w:p>
    <w:p w14:paraId="75A9CF36" w14:textId="77777777" w:rsidR="0046304C" w:rsidRDefault="0046304C" w:rsidP="004E466C">
      <w:pPr>
        <w:pStyle w:val="Sraopastraipa"/>
        <w:autoSpaceDE w:val="0"/>
        <w:autoSpaceDN w:val="0"/>
        <w:adjustRightInd w:val="0"/>
        <w:spacing w:after="0" w:line="240" w:lineRule="auto"/>
        <w:ind w:left="0"/>
        <w:jc w:val="both"/>
        <w:rPr>
          <w:rFonts w:ascii="Arial" w:hAnsi="Arial" w:cs="Arial"/>
          <w:b/>
          <w:sz w:val="18"/>
          <w:szCs w:val="18"/>
        </w:rPr>
      </w:pPr>
    </w:p>
    <w:p w14:paraId="19ACA1C8" w14:textId="43502BB6" w:rsidR="004E466C" w:rsidRPr="00DD6FA8" w:rsidRDefault="004E466C" w:rsidP="004E466C">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0A48261B" w14:textId="77777777" w:rsidR="004E466C" w:rsidRPr="00DD6FA8" w:rsidRDefault="004E466C" w:rsidP="004E466C">
      <w:pPr>
        <w:pStyle w:val="Sraopastraipa"/>
        <w:autoSpaceDE w:val="0"/>
        <w:autoSpaceDN w:val="0"/>
        <w:adjustRightInd w:val="0"/>
        <w:spacing w:after="0" w:line="240" w:lineRule="auto"/>
        <w:ind w:left="0"/>
        <w:jc w:val="both"/>
        <w:rPr>
          <w:rFonts w:ascii="Arial" w:hAnsi="Arial" w:cs="Arial"/>
          <w:bCs/>
          <w:sz w:val="18"/>
          <w:szCs w:val="18"/>
          <w:highlight w:val="yellow"/>
        </w:rPr>
      </w:pPr>
    </w:p>
    <w:p w14:paraId="00802B6D" w14:textId="77777777" w:rsidR="008C5F09" w:rsidRPr="005D2DDD" w:rsidRDefault="008C5F09" w:rsidP="008C5F09">
      <w:pPr>
        <w:autoSpaceDE w:val="0"/>
        <w:autoSpaceDN w:val="0"/>
        <w:adjustRightInd w:val="0"/>
        <w:jc w:val="both"/>
        <w:outlineLvl w:val="0"/>
        <w:rPr>
          <w:rFonts w:ascii="Arial" w:hAnsi="Arial" w:cs="Arial"/>
          <w:b/>
          <w:sz w:val="18"/>
          <w:lang w:val="en-GB"/>
        </w:rPr>
      </w:pPr>
      <w:r w:rsidRPr="005D2DDD">
        <w:rPr>
          <w:rFonts w:ascii="Arial" w:hAnsi="Arial" w:cs="Arial"/>
          <w:b/>
          <w:sz w:val="18"/>
          <w:lang w:val="en-GB"/>
        </w:rPr>
        <w:t xml:space="preserve">Coursework </w:t>
      </w:r>
    </w:p>
    <w:p w14:paraId="1F163D80" w14:textId="77777777" w:rsidR="004652A9" w:rsidRDefault="004652A9" w:rsidP="004652A9">
      <w:pPr>
        <w:autoSpaceDE w:val="0"/>
        <w:autoSpaceDN w:val="0"/>
        <w:adjustRightInd w:val="0"/>
        <w:jc w:val="both"/>
        <w:outlineLvl w:val="0"/>
        <w:rPr>
          <w:rFonts w:ascii="Arial" w:hAnsi="Arial" w:cs="Arial"/>
          <w:sz w:val="18"/>
          <w:lang w:val="en-GB"/>
        </w:rPr>
      </w:pPr>
      <w:r>
        <w:rPr>
          <w:rFonts w:ascii="Arial" w:hAnsi="Arial" w:cs="Arial"/>
          <w:sz w:val="18"/>
          <w:lang w:val="en-GB"/>
        </w:rPr>
        <w:t xml:space="preserve">Students work in small groups to prepare a valuation of a corporation. Details on the coursework will be provided separately. Coursework must comply with ISM requirements. Coursework counts towards 30% of the final grade. </w:t>
      </w:r>
    </w:p>
    <w:p w14:paraId="0C3E94A5" w14:textId="174DCF4B" w:rsidR="008C5F09" w:rsidRPr="005D2DDD" w:rsidRDefault="008C5F09" w:rsidP="004652A9">
      <w:pPr>
        <w:autoSpaceDE w:val="0"/>
        <w:autoSpaceDN w:val="0"/>
        <w:adjustRightInd w:val="0"/>
        <w:jc w:val="both"/>
        <w:outlineLvl w:val="0"/>
        <w:rPr>
          <w:rFonts w:ascii="Arial" w:hAnsi="Arial" w:cs="Arial"/>
          <w:b/>
          <w:bCs/>
          <w:sz w:val="18"/>
          <w:lang w:val="en-GB"/>
        </w:rPr>
      </w:pPr>
      <w:r w:rsidRPr="005D2DDD">
        <w:rPr>
          <w:rFonts w:ascii="Arial" w:hAnsi="Arial" w:cs="Arial"/>
          <w:b/>
          <w:bCs/>
          <w:sz w:val="18"/>
          <w:lang w:val="en-GB"/>
        </w:rPr>
        <w:t>Midterm test</w:t>
      </w:r>
    </w:p>
    <w:p w14:paraId="57D940ED" w14:textId="21F050B8" w:rsidR="008C5F09" w:rsidRPr="004652A9" w:rsidRDefault="004652A9" w:rsidP="008C5F09">
      <w:pPr>
        <w:autoSpaceDE w:val="0"/>
        <w:autoSpaceDN w:val="0"/>
        <w:adjustRightInd w:val="0"/>
        <w:jc w:val="both"/>
        <w:rPr>
          <w:rFonts w:ascii="Arial" w:hAnsi="Arial" w:cs="Arial"/>
          <w:sz w:val="18"/>
          <w:szCs w:val="24"/>
          <w:lang w:val="en-GB"/>
        </w:rPr>
      </w:pPr>
      <w:r>
        <w:rPr>
          <w:rFonts w:ascii="Arial" w:hAnsi="Arial" w:cs="Arial"/>
          <w:sz w:val="18"/>
          <w:lang w:val="en-GB"/>
        </w:rPr>
        <w:t xml:space="preserve">It will be held after the first half of classes. It counts towards 35% of the final grade. Calculators may be used, provided they cannot store text. </w:t>
      </w:r>
      <w:r w:rsidR="008C5F09" w:rsidRPr="005D2DDD">
        <w:rPr>
          <w:rFonts w:ascii="Arial" w:hAnsi="Arial" w:cs="Arial"/>
          <w:sz w:val="18"/>
          <w:lang w:val="en-GB"/>
        </w:rPr>
        <w:t xml:space="preserve"> </w:t>
      </w:r>
    </w:p>
    <w:p w14:paraId="2E8E2BAC" w14:textId="05A30859" w:rsidR="008C5F09" w:rsidRPr="005D2DDD" w:rsidRDefault="008C5F09" w:rsidP="008C5F09">
      <w:pPr>
        <w:autoSpaceDE w:val="0"/>
        <w:autoSpaceDN w:val="0"/>
        <w:adjustRightInd w:val="0"/>
        <w:outlineLvl w:val="0"/>
        <w:rPr>
          <w:rFonts w:ascii="Arial" w:hAnsi="Arial" w:cs="Arial"/>
          <w:b/>
          <w:bCs/>
          <w:sz w:val="18"/>
          <w:lang w:val="en-GB"/>
        </w:rPr>
      </w:pPr>
      <w:r w:rsidRPr="005D2DDD">
        <w:rPr>
          <w:rFonts w:ascii="Arial" w:hAnsi="Arial" w:cs="Arial"/>
          <w:b/>
          <w:bCs/>
          <w:sz w:val="18"/>
          <w:lang w:val="en-GB"/>
        </w:rPr>
        <w:t>Final exam</w:t>
      </w:r>
    </w:p>
    <w:p w14:paraId="75F43A6D" w14:textId="40C5EFA1" w:rsidR="004652A9" w:rsidRPr="004652A9" w:rsidRDefault="004652A9" w:rsidP="004652A9">
      <w:pPr>
        <w:autoSpaceDE w:val="0"/>
        <w:autoSpaceDN w:val="0"/>
        <w:adjustRightInd w:val="0"/>
        <w:jc w:val="both"/>
        <w:rPr>
          <w:rFonts w:ascii="Arial" w:hAnsi="Arial" w:cs="Arial"/>
          <w:sz w:val="18"/>
          <w:szCs w:val="24"/>
          <w:lang w:val="en-GB"/>
        </w:rPr>
      </w:pPr>
      <w:r>
        <w:rPr>
          <w:rFonts w:ascii="Arial" w:hAnsi="Arial" w:cs="Arial"/>
          <w:sz w:val="18"/>
          <w:lang w:val="en-GB"/>
        </w:rPr>
        <w:t xml:space="preserve">The exam counts towards 35% of the final grade. It will be based on topics </w:t>
      </w:r>
      <w:r w:rsidR="00996F46">
        <w:rPr>
          <w:rFonts w:ascii="Arial" w:hAnsi="Arial" w:cs="Arial"/>
          <w:sz w:val="18"/>
          <w:lang w:val="en-GB"/>
        </w:rPr>
        <w:t>from the second half of the course</w:t>
      </w:r>
      <w:r>
        <w:rPr>
          <w:rFonts w:ascii="Arial" w:hAnsi="Arial" w:cs="Arial"/>
          <w:sz w:val="18"/>
          <w:lang w:val="en-GB"/>
        </w:rPr>
        <w:t>.</w:t>
      </w:r>
      <w:r>
        <w:rPr>
          <w:rFonts w:ascii="Arial" w:hAnsi="Arial" w:cs="Arial"/>
          <w:sz w:val="18"/>
          <w:szCs w:val="24"/>
          <w:lang w:val="en-GB"/>
        </w:rPr>
        <w:t xml:space="preserve"> </w:t>
      </w:r>
      <w:r>
        <w:rPr>
          <w:rFonts w:ascii="Arial" w:hAnsi="Arial" w:cs="Arial"/>
          <w:sz w:val="18"/>
          <w:lang w:val="en-GB"/>
        </w:rPr>
        <w:t>Calculators may be used, provided they cannot store text.</w:t>
      </w:r>
    </w:p>
    <w:p w14:paraId="4431B25A" w14:textId="77777777" w:rsidR="004E466C" w:rsidRDefault="004E466C" w:rsidP="004E466C">
      <w:pPr>
        <w:pStyle w:val="Sraopastraipa"/>
        <w:autoSpaceDE w:val="0"/>
        <w:autoSpaceDN w:val="0"/>
        <w:adjustRightInd w:val="0"/>
        <w:spacing w:after="0" w:line="240" w:lineRule="auto"/>
        <w:ind w:left="0"/>
        <w:jc w:val="both"/>
        <w:rPr>
          <w:rFonts w:ascii="Arial" w:hAnsi="Arial" w:cs="Arial"/>
          <w:bCs/>
          <w:sz w:val="18"/>
          <w:szCs w:val="18"/>
        </w:rPr>
      </w:pPr>
    </w:p>
    <w:p w14:paraId="41940F12" w14:textId="77777777" w:rsidR="004E466C" w:rsidRDefault="004E466C" w:rsidP="004E466C">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15086C5B" w14:textId="77777777" w:rsidR="00996D3C" w:rsidRPr="005D2DDD" w:rsidRDefault="00996D3C" w:rsidP="00996D3C">
      <w:pPr>
        <w:autoSpaceDE w:val="0"/>
        <w:autoSpaceDN w:val="0"/>
        <w:adjustRightInd w:val="0"/>
        <w:jc w:val="both"/>
        <w:rPr>
          <w:rFonts w:ascii="Arial" w:hAnsi="Arial" w:cs="Arial"/>
          <w:sz w:val="18"/>
          <w:lang w:val="en-GB"/>
        </w:rPr>
      </w:pPr>
      <w:r w:rsidRPr="005D2DDD">
        <w:rPr>
          <w:rFonts w:ascii="Arial" w:hAnsi="Arial" w:cs="Arial"/>
          <w:sz w:val="18"/>
          <w:lang w:val="en-GB"/>
        </w:rPr>
        <w:t>In case of a negative final grade, students are allowed a re-sit exam. It will cover all course material. The weight of a re-sit is 70%. Coursework cannot be rewritten but its evaluation (if positive) is not annulled.</w:t>
      </w:r>
    </w:p>
    <w:p w14:paraId="3C015C3B" w14:textId="77777777" w:rsidR="004E466C" w:rsidRDefault="004E466C" w:rsidP="004E466C">
      <w:pPr>
        <w:pStyle w:val="Sraopastraipa"/>
        <w:autoSpaceDE w:val="0"/>
        <w:autoSpaceDN w:val="0"/>
        <w:adjustRightInd w:val="0"/>
        <w:spacing w:after="0" w:line="240" w:lineRule="auto"/>
        <w:ind w:left="0"/>
        <w:jc w:val="both"/>
        <w:rPr>
          <w:rFonts w:ascii="Arial" w:hAnsi="Arial" w:cs="Arial"/>
          <w:b/>
          <w:sz w:val="18"/>
          <w:szCs w:val="18"/>
        </w:rPr>
      </w:pPr>
    </w:p>
    <w:p w14:paraId="1B3C0D9D"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02C1D427" w14:textId="77410BB8" w:rsidR="00996D3C" w:rsidRPr="00721A48" w:rsidRDefault="00996D3C" w:rsidP="00996D3C">
      <w:pPr>
        <w:spacing w:after="0" w:line="240" w:lineRule="auto"/>
        <w:jc w:val="both"/>
        <w:rPr>
          <w:rFonts w:ascii="Arial" w:hAnsi="Arial" w:cs="Arial"/>
          <w:bCs/>
          <w:sz w:val="18"/>
          <w:lang w:val="en-GB"/>
        </w:rPr>
      </w:pPr>
      <w:r w:rsidRPr="00280744">
        <w:rPr>
          <w:rFonts w:ascii="Arial" w:hAnsi="Arial" w:cs="Arial"/>
          <w:sz w:val="18"/>
          <w:lang w:val="en-GB"/>
        </w:rPr>
        <w:t>Hillier D., Ross S., Westerfield R., Jaffe J., Jordan B., 201</w:t>
      </w:r>
      <w:r>
        <w:rPr>
          <w:rFonts w:ascii="Arial" w:hAnsi="Arial" w:cs="Arial"/>
          <w:sz w:val="18"/>
          <w:lang w:val="en-GB"/>
        </w:rPr>
        <w:t>3</w:t>
      </w:r>
      <w:r w:rsidRPr="00280744">
        <w:rPr>
          <w:rFonts w:ascii="Arial" w:hAnsi="Arial" w:cs="Arial"/>
          <w:sz w:val="18"/>
          <w:lang w:val="en-GB"/>
        </w:rPr>
        <w:t xml:space="preserve">. </w:t>
      </w:r>
      <w:r w:rsidRPr="00280744">
        <w:rPr>
          <w:rFonts w:ascii="Arial" w:hAnsi="Arial" w:cs="Arial"/>
          <w:i/>
          <w:iCs/>
          <w:sz w:val="18"/>
          <w:lang w:val="en-GB"/>
        </w:rPr>
        <w:t xml:space="preserve">Corporate Finance: </w:t>
      </w:r>
      <w:r>
        <w:rPr>
          <w:rFonts w:ascii="Arial" w:hAnsi="Arial" w:cs="Arial"/>
          <w:i/>
          <w:iCs/>
          <w:sz w:val="18"/>
          <w:lang w:val="en-GB"/>
        </w:rPr>
        <w:t>Second</w:t>
      </w:r>
      <w:r w:rsidRPr="00280744">
        <w:rPr>
          <w:rFonts w:ascii="Arial" w:hAnsi="Arial" w:cs="Arial"/>
          <w:i/>
          <w:iCs/>
          <w:sz w:val="18"/>
          <w:lang w:val="en-GB"/>
        </w:rPr>
        <w:t xml:space="preserve"> European Edition</w:t>
      </w:r>
      <w:r w:rsidRPr="00280744">
        <w:rPr>
          <w:rFonts w:ascii="Arial" w:hAnsi="Arial" w:cs="Arial"/>
          <w:sz w:val="18"/>
          <w:lang w:val="en-GB"/>
        </w:rPr>
        <w:t>. McGraw-Hill Higher Education.</w:t>
      </w:r>
      <w:r w:rsidR="001E754F">
        <w:rPr>
          <w:rFonts w:ascii="Arial" w:hAnsi="Arial" w:cs="Arial"/>
          <w:sz w:val="18"/>
          <w:lang w:val="en-GB"/>
        </w:rPr>
        <w:t xml:space="preserve"> (other editions also suitable)</w:t>
      </w:r>
    </w:p>
    <w:p w14:paraId="4761C3B0" w14:textId="77777777" w:rsidR="004E466C" w:rsidRPr="00DD6FA8" w:rsidRDefault="004E466C" w:rsidP="004E466C">
      <w:pPr>
        <w:pStyle w:val="metod"/>
        <w:ind w:firstLine="0"/>
        <w:jc w:val="both"/>
        <w:rPr>
          <w:rFonts w:ascii="Arial" w:hAnsi="Arial" w:cs="Arial"/>
          <w:b/>
          <w:sz w:val="18"/>
          <w:szCs w:val="18"/>
          <w:lang w:val="en-US"/>
        </w:rPr>
      </w:pPr>
    </w:p>
    <w:p w14:paraId="0C9D0398" w14:textId="7195AD4C" w:rsidR="004E466C"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6430F645" w14:textId="77777777" w:rsidR="00996D3C" w:rsidRDefault="00996D3C" w:rsidP="00996D3C">
      <w:pPr>
        <w:spacing w:after="0" w:line="240" w:lineRule="auto"/>
        <w:rPr>
          <w:rFonts w:ascii="Arial" w:hAnsi="Arial" w:cs="Arial"/>
          <w:sz w:val="18"/>
          <w:lang w:val="it-IT"/>
        </w:rPr>
      </w:pPr>
    </w:p>
    <w:p w14:paraId="7BB1F844" w14:textId="77777777" w:rsidR="0038564A" w:rsidRDefault="0038564A" w:rsidP="0038564A">
      <w:pPr>
        <w:spacing w:after="0" w:line="240" w:lineRule="auto"/>
        <w:rPr>
          <w:rFonts w:ascii="Arial" w:hAnsi="Arial" w:cs="Arial"/>
          <w:bCs/>
          <w:sz w:val="18"/>
          <w:lang w:val="en-GB"/>
        </w:rPr>
      </w:pPr>
      <w:r>
        <w:rPr>
          <w:rFonts w:ascii="Arial" w:hAnsi="Arial" w:cs="Arial"/>
          <w:sz w:val="18"/>
          <w:lang w:val="en-GB"/>
        </w:rPr>
        <w:t xml:space="preserve">Berk, J., </w:t>
      </w:r>
      <w:proofErr w:type="spellStart"/>
      <w:r>
        <w:rPr>
          <w:rFonts w:ascii="Arial" w:hAnsi="Arial" w:cs="Arial"/>
          <w:sz w:val="18"/>
          <w:lang w:val="en-GB"/>
        </w:rPr>
        <w:t>DeMarzo</w:t>
      </w:r>
      <w:proofErr w:type="spellEnd"/>
      <w:r>
        <w:rPr>
          <w:rFonts w:ascii="Arial" w:hAnsi="Arial" w:cs="Arial"/>
          <w:sz w:val="18"/>
          <w:lang w:val="en-GB"/>
        </w:rPr>
        <w:t xml:space="preserve">, P., 2011. </w:t>
      </w:r>
      <w:r>
        <w:rPr>
          <w:rFonts w:ascii="Arial" w:hAnsi="Arial" w:cs="Arial"/>
          <w:i/>
          <w:sz w:val="18"/>
          <w:lang w:val="en-GB"/>
        </w:rPr>
        <w:t>Corporate Finance</w:t>
      </w:r>
      <w:r>
        <w:rPr>
          <w:rFonts w:ascii="Arial" w:hAnsi="Arial" w:cs="Arial"/>
          <w:sz w:val="18"/>
          <w:lang w:val="en-GB"/>
        </w:rPr>
        <w:t>, 2nd international ed. Boston: Pearson Addison Wesley.</w:t>
      </w:r>
    </w:p>
    <w:p w14:paraId="758E3413" w14:textId="77777777" w:rsidR="0038564A" w:rsidRDefault="0038564A" w:rsidP="0038564A">
      <w:pPr>
        <w:spacing w:after="0" w:line="240" w:lineRule="auto"/>
        <w:jc w:val="both"/>
        <w:rPr>
          <w:rFonts w:ascii="Arial" w:hAnsi="Arial" w:cs="Arial"/>
          <w:bCs/>
          <w:sz w:val="18"/>
          <w:lang w:val="en-GB"/>
        </w:rPr>
      </w:pPr>
      <w:r>
        <w:rPr>
          <w:rFonts w:ascii="Arial" w:hAnsi="Arial" w:cs="Arial"/>
          <w:sz w:val="18"/>
          <w:lang w:val="en-GB"/>
        </w:rPr>
        <w:t>Handouts (electronic versions uploaded to the course e-learning space)</w:t>
      </w:r>
    </w:p>
    <w:p w14:paraId="76B7ACDB" w14:textId="786FB032" w:rsidR="004E466C" w:rsidRDefault="004E466C" w:rsidP="00DA66F4">
      <w:pPr>
        <w:spacing w:after="0" w:line="240" w:lineRule="auto"/>
        <w:rPr>
          <w:rFonts w:ascii="Arial" w:hAnsi="Arial" w:cs="Arial"/>
          <w:b/>
          <w:sz w:val="18"/>
          <w:szCs w:val="18"/>
        </w:rPr>
      </w:pPr>
    </w:p>
    <w:p w14:paraId="6E481360" w14:textId="163809DB" w:rsidR="004E466C" w:rsidRDefault="004E466C">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A9FEC" w14:textId="77777777" w:rsidR="00DB0381" w:rsidRDefault="00DB0381" w:rsidP="00062544">
      <w:pPr>
        <w:spacing w:after="0" w:line="240" w:lineRule="auto"/>
      </w:pPr>
      <w:r>
        <w:separator/>
      </w:r>
    </w:p>
  </w:endnote>
  <w:endnote w:type="continuationSeparator" w:id="0">
    <w:p w14:paraId="724FBCC6" w14:textId="77777777" w:rsidR="00DB0381" w:rsidRDefault="00DB038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422811DF" w:rsidR="00AD140F" w:rsidRDefault="00DB6F63" w:rsidP="00DB6F63">
        <w:pPr>
          <w:pStyle w:val="Porat"/>
          <w:jc w:val="center"/>
        </w:pPr>
        <w:r>
          <w:fldChar w:fldCharType="begin"/>
        </w:r>
        <w:r>
          <w:instrText xml:space="preserve"> PAGE   \* MERGEFORMAT </w:instrText>
        </w:r>
        <w:r>
          <w:fldChar w:fldCharType="separate"/>
        </w:r>
        <w:r w:rsidR="004E466C">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69985" w14:textId="77777777" w:rsidR="00DB0381" w:rsidRDefault="00DB0381" w:rsidP="00062544">
      <w:pPr>
        <w:spacing w:after="0" w:line="240" w:lineRule="auto"/>
      </w:pPr>
      <w:r>
        <w:separator/>
      </w:r>
    </w:p>
  </w:footnote>
  <w:footnote w:type="continuationSeparator" w:id="0">
    <w:p w14:paraId="4D948A9B" w14:textId="77777777" w:rsidR="00DB0381" w:rsidRDefault="00DB038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5397" w14:textId="77777777" w:rsidR="004969AA" w:rsidRDefault="00AD140F" w:rsidP="004969AA">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67A0F3A6">
          <wp:simplePos x="0" y="0"/>
          <wp:positionH relativeFrom="column">
            <wp:posOffset>-272415</wp:posOffset>
          </wp:positionH>
          <wp:positionV relativeFrom="paragraph">
            <wp:posOffset>45085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4969AA">
      <w:rPr>
        <w:rFonts w:ascii="Arial" w:hAnsi="Arial" w:cs="Arial"/>
        <w:sz w:val="18"/>
        <w:szCs w:val="18"/>
        <w:lang w:val="lt-LT"/>
      </w:rPr>
      <w:t xml:space="preserve">APPROVED BY </w:t>
    </w:r>
  </w:p>
  <w:p w14:paraId="0BAE8633" w14:textId="77777777" w:rsidR="004969AA" w:rsidRDefault="004969AA" w:rsidP="004969AA">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15F0ACC" w14:textId="77777777" w:rsidR="004969AA" w:rsidRDefault="004969AA" w:rsidP="004969AA">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111723DF" w:rsidR="00AD140F" w:rsidRDefault="004969AA" w:rsidP="004969AA">
    <w:pPr>
      <w:spacing w:after="0" w:line="240" w:lineRule="auto"/>
      <w:jc w:val="right"/>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r>
      <w:t xml:space="preserve">     </w:t>
    </w:r>
  </w:p>
  <w:p w14:paraId="3FC7E91E" w14:textId="77777777" w:rsidR="004969AA" w:rsidRPr="004969AA" w:rsidRDefault="004969AA" w:rsidP="004969AA">
    <w:pPr>
      <w:spacing w:after="0" w:line="240" w:lineRule="auto"/>
      <w:jc w:val="center"/>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394DD7"/>
    <w:multiLevelType w:val="hybridMultilevel"/>
    <w:tmpl w:val="DF3A6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9388153">
    <w:abstractNumId w:val="14"/>
  </w:num>
  <w:num w:numId="2" w16cid:durableId="836463549">
    <w:abstractNumId w:val="11"/>
  </w:num>
  <w:num w:numId="3" w16cid:durableId="628171475">
    <w:abstractNumId w:val="6"/>
  </w:num>
  <w:num w:numId="4" w16cid:durableId="817920864">
    <w:abstractNumId w:val="1"/>
  </w:num>
  <w:num w:numId="5" w16cid:durableId="1119184645">
    <w:abstractNumId w:val="25"/>
  </w:num>
  <w:num w:numId="6" w16cid:durableId="1644844953">
    <w:abstractNumId w:val="5"/>
  </w:num>
  <w:num w:numId="7" w16cid:durableId="258220474">
    <w:abstractNumId w:val="10"/>
  </w:num>
  <w:num w:numId="8" w16cid:durableId="1417942441">
    <w:abstractNumId w:val="30"/>
  </w:num>
  <w:num w:numId="9" w16cid:durableId="1188980700">
    <w:abstractNumId w:val="22"/>
  </w:num>
  <w:num w:numId="10" w16cid:durableId="449667773">
    <w:abstractNumId w:val="8"/>
  </w:num>
  <w:num w:numId="11" w16cid:durableId="1739595429">
    <w:abstractNumId w:val="21"/>
  </w:num>
  <w:num w:numId="12" w16cid:durableId="1535726836">
    <w:abstractNumId w:val="4"/>
  </w:num>
  <w:num w:numId="13" w16cid:durableId="1488786832">
    <w:abstractNumId w:val="29"/>
  </w:num>
  <w:num w:numId="14" w16cid:durableId="1730759599">
    <w:abstractNumId w:val="9"/>
  </w:num>
  <w:num w:numId="15" w16cid:durableId="142813183">
    <w:abstractNumId w:val="7"/>
  </w:num>
  <w:num w:numId="16" w16cid:durableId="944576056">
    <w:abstractNumId w:val="3"/>
  </w:num>
  <w:num w:numId="17" w16cid:durableId="640306302">
    <w:abstractNumId w:val="23"/>
  </w:num>
  <w:num w:numId="18" w16cid:durableId="1106732265">
    <w:abstractNumId w:val="28"/>
  </w:num>
  <w:num w:numId="19" w16cid:durableId="466775497">
    <w:abstractNumId w:val="20"/>
  </w:num>
  <w:num w:numId="20" w16cid:durableId="223103464">
    <w:abstractNumId w:val="17"/>
  </w:num>
  <w:num w:numId="21" w16cid:durableId="1534735362">
    <w:abstractNumId w:val="26"/>
  </w:num>
  <w:num w:numId="22" w16cid:durableId="1237937345">
    <w:abstractNumId w:val="2"/>
  </w:num>
  <w:num w:numId="23" w16cid:durableId="1137601014">
    <w:abstractNumId w:val="24"/>
  </w:num>
  <w:num w:numId="24" w16cid:durableId="738672093">
    <w:abstractNumId w:val="18"/>
  </w:num>
  <w:num w:numId="25" w16cid:durableId="802894818">
    <w:abstractNumId w:val="27"/>
  </w:num>
  <w:num w:numId="26" w16cid:durableId="1148395898">
    <w:abstractNumId w:val="13"/>
  </w:num>
  <w:num w:numId="27" w16cid:durableId="1051030889">
    <w:abstractNumId w:val="15"/>
  </w:num>
  <w:num w:numId="28" w16cid:durableId="932317864">
    <w:abstractNumId w:val="19"/>
  </w:num>
  <w:num w:numId="29" w16cid:durableId="886259946">
    <w:abstractNumId w:val="0"/>
  </w:num>
  <w:num w:numId="30" w16cid:durableId="503978931">
    <w:abstractNumId w:val="16"/>
  </w:num>
  <w:num w:numId="31" w16cid:durableId="1699358463">
    <w:abstractNumId w:val="12"/>
  </w:num>
  <w:num w:numId="32" w16cid:durableId="5104139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2594"/>
    <w:rsid w:val="00034BEE"/>
    <w:rsid w:val="0003578B"/>
    <w:rsid w:val="00040BB2"/>
    <w:rsid w:val="000423F7"/>
    <w:rsid w:val="0004263D"/>
    <w:rsid w:val="00051599"/>
    <w:rsid w:val="000524E0"/>
    <w:rsid w:val="0005410F"/>
    <w:rsid w:val="0005472B"/>
    <w:rsid w:val="00060E69"/>
    <w:rsid w:val="00061438"/>
    <w:rsid w:val="00061501"/>
    <w:rsid w:val="00062544"/>
    <w:rsid w:val="00063E81"/>
    <w:rsid w:val="0006531F"/>
    <w:rsid w:val="00070B0C"/>
    <w:rsid w:val="00071DE8"/>
    <w:rsid w:val="00077197"/>
    <w:rsid w:val="0008070F"/>
    <w:rsid w:val="00080F5C"/>
    <w:rsid w:val="00082023"/>
    <w:rsid w:val="000838A8"/>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02E18"/>
    <w:rsid w:val="00105026"/>
    <w:rsid w:val="00113EAF"/>
    <w:rsid w:val="00114104"/>
    <w:rsid w:val="00115E88"/>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39B4"/>
    <w:rsid w:val="001864FC"/>
    <w:rsid w:val="001902BE"/>
    <w:rsid w:val="00190340"/>
    <w:rsid w:val="001936C6"/>
    <w:rsid w:val="00194A85"/>
    <w:rsid w:val="00197699"/>
    <w:rsid w:val="001A2A96"/>
    <w:rsid w:val="001A3D16"/>
    <w:rsid w:val="001A6ADB"/>
    <w:rsid w:val="001B2C03"/>
    <w:rsid w:val="001B338B"/>
    <w:rsid w:val="001B4406"/>
    <w:rsid w:val="001B6701"/>
    <w:rsid w:val="001C12CB"/>
    <w:rsid w:val="001C17B6"/>
    <w:rsid w:val="001C1AC3"/>
    <w:rsid w:val="001C5D5C"/>
    <w:rsid w:val="001D0530"/>
    <w:rsid w:val="001D0FAD"/>
    <w:rsid w:val="001D34C2"/>
    <w:rsid w:val="001D50D3"/>
    <w:rsid w:val="001D6F36"/>
    <w:rsid w:val="001E149D"/>
    <w:rsid w:val="001E754F"/>
    <w:rsid w:val="001F0A3E"/>
    <w:rsid w:val="001F1A8D"/>
    <w:rsid w:val="00202EE2"/>
    <w:rsid w:val="002105E2"/>
    <w:rsid w:val="0021360C"/>
    <w:rsid w:val="0021528D"/>
    <w:rsid w:val="00215430"/>
    <w:rsid w:val="00223D62"/>
    <w:rsid w:val="00223E73"/>
    <w:rsid w:val="00224CCE"/>
    <w:rsid w:val="00227AE1"/>
    <w:rsid w:val="00233368"/>
    <w:rsid w:val="00235DBD"/>
    <w:rsid w:val="00237270"/>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28BB"/>
    <w:rsid w:val="00284063"/>
    <w:rsid w:val="00287DF4"/>
    <w:rsid w:val="00292B9B"/>
    <w:rsid w:val="002A0EC8"/>
    <w:rsid w:val="002A19F1"/>
    <w:rsid w:val="002A1FD6"/>
    <w:rsid w:val="002A43E6"/>
    <w:rsid w:val="002B1BF4"/>
    <w:rsid w:val="002B1DCE"/>
    <w:rsid w:val="002B741D"/>
    <w:rsid w:val="002C0670"/>
    <w:rsid w:val="002C093B"/>
    <w:rsid w:val="002C0C8F"/>
    <w:rsid w:val="002C2C25"/>
    <w:rsid w:val="002C364B"/>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21BB"/>
    <w:rsid w:val="00335D17"/>
    <w:rsid w:val="00340853"/>
    <w:rsid w:val="00345D95"/>
    <w:rsid w:val="00346C65"/>
    <w:rsid w:val="003534D2"/>
    <w:rsid w:val="00354EE1"/>
    <w:rsid w:val="00354FEF"/>
    <w:rsid w:val="00357246"/>
    <w:rsid w:val="00357461"/>
    <w:rsid w:val="00357CF4"/>
    <w:rsid w:val="00363C77"/>
    <w:rsid w:val="003656CE"/>
    <w:rsid w:val="00365E77"/>
    <w:rsid w:val="0038564A"/>
    <w:rsid w:val="003908B9"/>
    <w:rsid w:val="00397400"/>
    <w:rsid w:val="003A3473"/>
    <w:rsid w:val="003A372D"/>
    <w:rsid w:val="003B3179"/>
    <w:rsid w:val="003B7587"/>
    <w:rsid w:val="003C34A1"/>
    <w:rsid w:val="003C3A52"/>
    <w:rsid w:val="003C763F"/>
    <w:rsid w:val="003D0A1F"/>
    <w:rsid w:val="003E01C0"/>
    <w:rsid w:val="003F41A5"/>
    <w:rsid w:val="00401708"/>
    <w:rsid w:val="0040672B"/>
    <w:rsid w:val="00415172"/>
    <w:rsid w:val="00415BD8"/>
    <w:rsid w:val="00416C0F"/>
    <w:rsid w:val="00421237"/>
    <w:rsid w:val="00422481"/>
    <w:rsid w:val="00424AAD"/>
    <w:rsid w:val="00427E92"/>
    <w:rsid w:val="004357B6"/>
    <w:rsid w:val="004373F7"/>
    <w:rsid w:val="00437683"/>
    <w:rsid w:val="0044012D"/>
    <w:rsid w:val="0044217A"/>
    <w:rsid w:val="0044346B"/>
    <w:rsid w:val="0044442F"/>
    <w:rsid w:val="004452F0"/>
    <w:rsid w:val="004463F3"/>
    <w:rsid w:val="004467F8"/>
    <w:rsid w:val="004502B9"/>
    <w:rsid w:val="00455D56"/>
    <w:rsid w:val="004568D9"/>
    <w:rsid w:val="004604E6"/>
    <w:rsid w:val="00461D51"/>
    <w:rsid w:val="0046304C"/>
    <w:rsid w:val="004652A9"/>
    <w:rsid w:val="004722D3"/>
    <w:rsid w:val="004726EF"/>
    <w:rsid w:val="00482AB2"/>
    <w:rsid w:val="00485CC8"/>
    <w:rsid w:val="004869C7"/>
    <w:rsid w:val="0049108B"/>
    <w:rsid w:val="004941C3"/>
    <w:rsid w:val="004969AA"/>
    <w:rsid w:val="00496A59"/>
    <w:rsid w:val="004A022A"/>
    <w:rsid w:val="004A239B"/>
    <w:rsid w:val="004A387B"/>
    <w:rsid w:val="004A3C83"/>
    <w:rsid w:val="004A60B8"/>
    <w:rsid w:val="004A613C"/>
    <w:rsid w:val="004B14EF"/>
    <w:rsid w:val="004B1653"/>
    <w:rsid w:val="004B2D2A"/>
    <w:rsid w:val="004B6701"/>
    <w:rsid w:val="004C5165"/>
    <w:rsid w:val="004D036B"/>
    <w:rsid w:val="004D197C"/>
    <w:rsid w:val="004D2E84"/>
    <w:rsid w:val="004D3790"/>
    <w:rsid w:val="004D40D1"/>
    <w:rsid w:val="004D6773"/>
    <w:rsid w:val="004D67A6"/>
    <w:rsid w:val="004E466C"/>
    <w:rsid w:val="004F0653"/>
    <w:rsid w:val="004F0F16"/>
    <w:rsid w:val="004F1AA9"/>
    <w:rsid w:val="004F2CD9"/>
    <w:rsid w:val="004F6606"/>
    <w:rsid w:val="004F7471"/>
    <w:rsid w:val="00510F17"/>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A0263"/>
    <w:rsid w:val="005B661C"/>
    <w:rsid w:val="005C1096"/>
    <w:rsid w:val="005C31A5"/>
    <w:rsid w:val="005D25F3"/>
    <w:rsid w:val="005D6BFC"/>
    <w:rsid w:val="005E0D68"/>
    <w:rsid w:val="005E725F"/>
    <w:rsid w:val="005F3244"/>
    <w:rsid w:val="005F5CBD"/>
    <w:rsid w:val="005F6617"/>
    <w:rsid w:val="006074AE"/>
    <w:rsid w:val="0060774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2EA5"/>
    <w:rsid w:val="006C523F"/>
    <w:rsid w:val="006D1AA7"/>
    <w:rsid w:val="006D36EF"/>
    <w:rsid w:val="006D5405"/>
    <w:rsid w:val="006E5189"/>
    <w:rsid w:val="006F35C4"/>
    <w:rsid w:val="006F3C24"/>
    <w:rsid w:val="006F3D6D"/>
    <w:rsid w:val="007007C1"/>
    <w:rsid w:val="00701978"/>
    <w:rsid w:val="00712FD6"/>
    <w:rsid w:val="00713A6C"/>
    <w:rsid w:val="00715962"/>
    <w:rsid w:val="007176C7"/>
    <w:rsid w:val="007209BF"/>
    <w:rsid w:val="00720D57"/>
    <w:rsid w:val="00722750"/>
    <w:rsid w:val="00724D13"/>
    <w:rsid w:val="00726DFD"/>
    <w:rsid w:val="0073264A"/>
    <w:rsid w:val="00735691"/>
    <w:rsid w:val="0073580A"/>
    <w:rsid w:val="00735D0F"/>
    <w:rsid w:val="0074062D"/>
    <w:rsid w:val="007431FB"/>
    <w:rsid w:val="007509B5"/>
    <w:rsid w:val="00753747"/>
    <w:rsid w:val="00755D75"/>
    <w:rsid w:val="007605AB"/>
    <w:rsid w:val="00762531"/>
    <w:rsid w:val="0076271F"/>
    <w:rsid w:val="0076339C"/>
    <w:rsid w:val="00765925"/>
    <w:rsid w:val="00766E48"/>
    <w:rsid w:val="007752DD"/>
    <w:rsid w:val="00781ED9"/>
    <w:rsid w:val="007873C4"/>
    <w:rsid w:val="00792997"/>
    <w:rsid w:val="007A27FE"/>
    <w:rsid w:val="007A281B"/>
    <w:rsid w:val="007A544B"/>
    <w:rsid w:val="007B07E1"/>
    <w:rsid w:val="007B5C10"/>
    <w:rsid w:val="007B6905"/>
    <w:rsid w:val="007C0805"/>
    <w:rsid w:val="007C0E00"/>
    <w:rsid w:val="007C1B15"/>
    <w:rsid w:val="007C6666"/>
    <w:rsid w:val="007E00C7"/>
    <w:rsid w:val="007E1120"/>
    <w:rsid w:val="007E3661"/>
    <w:rsid w:val="007E6B56"/>
    <w:rsid w:val="007F13A7"/>
    <w:rsid w:val="007F3F99"/>
    <w:rsid w:val="007F510F"/>
    <w:rsid w:val="007F58B1"/>
    <w:rsid w:val="007F6C97"/>
    <w:rsid w:val="00802D11"/>
    <w:rsid w:val="00802DF5"/>
    <w:rsid w:val="00802F16"/>
    <w:rsid w:val="0080657B"/>
    <w:rsid w:val="008114B2"/>
    <w:rsid w:val="008214F5"/>
    <w:rsid w:val="008218A8"/>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C5F09"/>
    <w:rsid w:val="008C6E28"/>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009E"/>
    <w:rsid w:val="00973424"/>
    <w:rsid w:val="00973594"/>
    <w:rsid w:val="009775FB"/>
    <w:rsid w:val="00983094"/>
    <w:rsid w:val="00983810"/>
    <w:rsid w:val="00987B06"/>
    <w:rsid w:val="009954C0"/>
    <w:rsid w:val="00996D3C"/>
    <w:rsid w:val="00996F46"/>
    <w:rsid w:val="009A3345"/>
    <w:rsid w:val="009A6368"/>
    <w:rsid w:val="009B0742"/>
    <w:rsid w:val="009B1C57"/>
    <w:rsid w:val="009B29A4"/>
    <w:rsid w:val="009B62F4"/>
    <w:rsid w:val="009C1B45"/>
    <w:rsid w:val="009C2C5B"/>
    <w:rsid w:val="009C2CF0"/>
    <w:rsid w:val="009C62EC"/>
    <w:rsid w:val="009C7233"/>
    <w:rsid w:val="009C7B26"/>
    <w:rsid w:val="009D3C95"/>
    <w:rsid w:val="009D4C19"/>
    <w:rsid w:val="009D704A"/>
    <w:rsid w:val="009F23D6"/>
    <w:rsid w:val="009F2806"/>
    <w:rsid w:val="00A01D7E"/>
    <w:rsid w:val="00A02D6A"/>
    <w:rsid w:val="00A06D17"/>
    <w:rsid w:val="00A07C2E"/>
    <w:rsid w:val="00A32A29"/>
    <w:rsid w:val="00A3524A"/>
    <w:rsid w:val="00A40AD0"/>
    <w:rsid w:val="00A41EFE"/>
    <w:rsid w:val="00A51E3D"/>
    <w:rsid w:val="00A53882"/>
    <w:rsid w:val="00A5390A"/>
    <w:rsid w:val="00A570CA"/>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7618"/>
    <w:rsid w:val="00B37B39"/>
    <w:rsid w:val="00B42447"/>
    <w:rsid w:val="00B42AFA"/>
    <w:rsid w:val="00B4316F"/>
    <w:rsid w:val="00B511FE"/>
    <w:rsid w:val="00B52A48"/>
    <w:rsid w:val="00B52DD3"/>
    <w:rsid w:val="00B61BCF"/>
    <w:rsid w:val="00B6210C"/>
    <w:rsid w:val="00B654FF"/>
    <w:rsid w:val="00B729A1"/>
    <w:rsid w:val="00B74E21"/>
    <w:rsid w:val="00B77EDD"/>
    <w:rsid w:val="00B801FF"/>
    <w:rsid w:val="00B86579"/>
    <w:rsid w:val="00B94724"/>
    <w:rsid w:val="00B94DF0"/>
    <w:rsid w:val="00BA5794"/>
    <w:rsid w:val="00BA6616"/>
    <w:rsid w:val="00BA690B"/>
    <w:rsid w:val="00BB3566"/>
    <w:rsid w:val="00BC2406"/>
    <w:rsid w:val="00BC37E2"/>
    <w:rsid w:val="00BC4CC6"/>
    <w:rsid w:val="00BD02A0"/>
    <w:rsid w:val="00BD15E5"/>
    <w:rsid w:val="00BD5D85"/>
    <w:rsid w:val="00BE29D0"/>
    <w:rsid w:val="00BF1151"/>
    <w:rsid w:val="00BF4BCC"/>
    <w:rsid w:val="00BF5402"/>
    <w:rsid w:val="00C03C5C"/>
    <w:rsid w:val="00C03D3B"/>
    <w:rsid w:val="00C111A6"/>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50D1"/>
    <w:rsid w:val="00C76EED"/>
    <w:rsid w:val="00C80EAA"/>
    <w:rsid w:val="00C815D6"/>
    <w:rsid w:val="00C82DE2"/>
    <w:rsid w:val="00C8711D"/>
    <w:rsid w:val="00C91775"/>
    <w:rsid w:val="00C91F77"/>
    <w:rsid w:val="00CA0015"/>
    <w:rsid w:val="00CA7982"/>
    <w:rsid w:val="00CB1554"/>
    <w:rsid w:val="00CB4A43"/>
    <w:rsid w:val="00CB5E3F"/>
    <w:rsid w:val="00CC0C6D"/>
    <w:rsid w:val="00CC27BB"/>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0F14"/>
    <w:rsid w:val="00D75A1C"/>
    <w:rsid w:val="00D76238"/>
    <w:rsid w:val="00D76491"/>
    <w:rsid w:val="00D82750"/>
    <w:rsid w:val="00D8515F"/>
    <w:rsid w:val="00D935AA"/>
    <w:rsid w:val="00D939BF"/>
    <w:rsid w:val="00D94141"/>
    <w:rsid w:val="00DA47C8"/>
    <w:rsid w:val="00DA66F4"/>
    <w:rsid w:val="00DA6B97"/>
    <w:rsid w:val="00DB0381"/>
    <w:rsid w:val="00DB476F"/>
    <w:rsid w:val="00DB6F63"/>
    <w:rsid w:val="00DC2C3B"/>
    <w:rsid w:val="00DC355A"/>
    <w:rsid w:val="00DC3DF1"/>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6E88"/>
    <w:rsid w:val="00E7744E"/>
    <w:rsid w:val="00E8496F"/>
    <w:rsid w:val="00E91D14"/>
    <w:rsid w:val="00E9483C"/>
    <w:rsid w:val="00E96BB5"/>
    <w:rsid w:val="00EA5165"/>
    <w:rsid w:val="00EA52A2"/>
    <w:rsid w:val="00EA6F50"/>
    <w:rsid w:val="00EB594B"/>
    <w:rsid w:val="00EB6890"/>
    <w:rsid w:val="00EC7C1C"/>
    <w:rsid w:val="00ED2611"/>
    <w:rsid w:val="00ED607E"/>
    <w:rsid w:val="00ED60A6"/>
    <w:rsid w:val="00ED7D23"/>
    <w:rsid w:val="00ED7D65"/>
    <w:rsid w:val="00EE061F"/>
    <w:rsid w:val="00EE5AEB"/>
    <w:rsid w:val="00EE6D7E"/>
    <w:rsid w:val="00EE7238"/>
    <w:rsid w:val="00EF4220"/>
    <w:rsid w:val="00EF5866"/>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prastasis"/>
    <w:rsid w:val="001839B4"/>
    <w:pPr>
      <w:spacing w:after="120" w:line="288" w:lineRule="atLeast"/>
      <w:jc w:val="both"/>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85741412">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31229601">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34248305">
      <w:bodyDiv w:val="1"/>
      <w:marLeft w:val="0"/>
      <w:marRight w:val="0"/>
      <w:marTop w:val="0"/>
      <w:marBottom w:val="0"/>
      <w:divBdr>
        <w:top w:val="none" w:sz="0" w:space="0" w:color="auto"/>
        <w:left w:val="none" w:sz="0" w:space="0" w:color="auto"/>
        <w:bottom w:val="none" w:sz="0" w:space="0" w:color="auto"/>
        <w:right w:val="none" w:sz="0" w:space="0" w:color="auto"/>
      </w:divBdr>
    </w:div>
    <w:div w:id="1174229183">
      <w:bodyDiv w:val="1"/>
      <w:marLeft w:val="0"/>
      <w:marRight w:val="0"/>
      <w:marTop w:val="0"/>
      <w:marBottom w:val="0"/>
      <w:divBdr>
        <w:top w:val="none" w:sz="0" w:space="0" w:color="auto"/>
        <w:left w:val="none" w:sz="0" w:space="0" w:color="auto"/>
        <w:bottom w:val="none" w:sz="0" w:space="0" w:color="auto"/>
        <w:right w:val="none" w:sz="0" w:space="0" w:color="auto"/>
      </w:divBdr>
    </w:div>
    <w:div w:id="1233812872">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28338187">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55320501">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70101709">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FF350-5E10-44C6-9090-15CA14A8F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1051</Words>
  <Characters>6201</Characters>
  <Application>Microsoft Office Word</Application>
  <DocSecurity>0</DocSecurity>
  <Lines>263</Lines>
  <Paragraphs>163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7122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61</cp:revision>
  <cp:lastPrinted>2021-02-01T09:37:00Z</cp:lastPrinted>
  <dcterms:created xsi:type="dcterms:W3CDTF">2020-11-27T16:47:00Z</dcterms:created>
  <dcterms:modified xsi:type="dcterms:W3CDTF">2023-01-25T08:49:00Z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ce8d90e93836188691638345c9c75881c6e847625eddae26a94f15e850c65741</vt:lpwstr>
  </property>
</Properties>
</file>