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6A2CC7B" w:rsidR="00901197" w:rsidRPr="0073580A" w:rsidRDefault="00A1132C" w:rsidP="00162656">
      <w:pPr>
        <w:tabs>
          <w:tab w:val="left" w:pos="6663"/>
        </w:tabs>
        <w:spacing w:after="120"/>
        <w:jc w:val="center"/>
        <w:rPr>
          <w:rFonts w:ascii="Arial" w:hAnsi="Arial" w:cs="Arial"/>
          <w:sz w:val="28"/>
          <w:szCs w:val="28"/>
        </w:rPr>
      </w:pPr>
      <w:bookmarkStart w:id="0" w:name="_Toc119314715"/>
      <w:r w:rsidRPr="00A1132C">
        <w:rPr>
          <w:rFonts w:ascii="Arial" w:hAnsi="Arial" w:cs="Arial"/>
          <w:sz w:val="28"/>
          <w:szCs w:val="28"/>
          <w:lang w:val="en-GB"/>
        </w:rPr>
        <w:t>BUSINESS LAW IN PRACTICE</w:t>
      </w:r>
      <w:bookmarkEnd w:id="0"/>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25DD82E" w:rsidR="00AE7148" w:rsidRPr="00A1132C" w:rsidRDefault="00A1132C" w:rsidP="00901197">
            <w:pPr>
              <w:spacing w:before="120" w:after="0"/>
              <w:rPr>
                <w:rFonts w:ascii="Arial" w:hAnsi="Arial" w:cs="Arial"/>
                <w:i/>
                <w:color w:val="000000"/>
                <w:sz w:val="18"/>
                <w:szCs w:val="18"/>
              </w:rPr>
            </w:pPr>
            <w:r w:rsidRPr="00A1132C">
              <w:rPr>
                <w:rFonts w:ascii="Arial" w:hAnsi="Arial" w:cs="Arial"/>
                <w:i/>
                <w:color w:val="000000"/>
                <w:sz w:val="18"/>
                <w:szCs w:val="18"/>
              </w:rPr>
              <w:t>MNG281</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36C92FFA" w:rsidR="00AE7148" w:rsidRPr="00A1132C" w:rsidRDefault="00A1132C" w:rsidP="00901197">
            <w:pPr>
              <w:pStyle w:val="Parameters"/>
              <w:tabs>
                <w:tab w:val="clear" w:pos="4820"/>
              </w:tabs>
              <w:spacing w:before="120" w:after="0" w:line="276" w:lineRule="auto"/>
              <w:ind w:left="0" w:firstLine="0"/>
              <w:rPr>
                <w:rStyle w:val="Bolds"/>
                <w:rFonts w:ascii="Arial" w:hAnsi="Arial" w:cs="Arial"/>
                <w:b w:val="0"/>
                <w:i/>
                <w:sz w:val="18"/>
                <w:szCs w:val="18"/>
              </w:rPr>
            </w:pPr>
            <w:r w:rsidRPr="00A1132C">
              <w:rPr>
                <w:rStyle w:val="Bolds"/>
                <w:rFonts w:ascii="Arial" w:hAnsi="Arial" w:cs="Arial"/>
                <w:b w:val="0"/>
                <w:i/>
                <w:sz w:val="18"/>
                <w:szCs w:val="18"/>
              </w:rPr>
              <w:t>Elective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2C2749F7"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447ED3CE" w14:textId="6284E77E"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 xml:space="preserve">6 ECTS (48 contact hours + </w:t>
            </w:r>
            <w:r w:rsidR="00A1132C">
              <w:rPr>
                <w:rStyle w:val="Bolds"/>
                <w:rFonts w:ascii="Arial" w:hAnsi="Arial" w:cs="Arial"/>
                <w:b w:val="0"/>
                <w:i/>
                <w:sz w:val="18"/>
                <w:szCs w:val="18"/>
              </w:rPr>
              <w:t>2</w:t>
            </w:r>
            <w:r w:rsidRPr="0073580A">
              <w:rPr>
                <w:rStyle w:val="Bolds"/>
                <w:rFonts w:ascii="Arial" w:hAnsi="Arial" w:cs="Arial"/>
                <w:b w:val="0"/>
                <w:i/>
                <w:sz w:val="18"/>
                <w:szCs w:val="18"/>
              </w:rPr>
              <w:t xml:space="preserve"> consultation hours, 1</w:t>
            </w:r>
            <w:r w:rsidR="00A1132C">
              <w:rPr>
                <w:rStyle w:val="Bolds"/>
                <w:rFonts w:ascii="Arial" w:hAnsi="Arial" w:cs="Arial"/>
                <w:b w:val="0"/>
                <w:i/>
                <w:sz w:val="18"/>
                <w:szCs w:val="18"/>
              </w:rPr>
              <w:t>1</w:t>
            </w:r>
            <w:r w:rsidR="00A1132C" w:rsidRPr="00A1132C">
              <w:rPr>
                <w:rStyle w:val="Bolds"/>
                <w:rFonts w:ascii="Arial" w:hAnsi="Arial" w:cs="Arial"/>
                <w:b w:val="0"/>
                <w:i/>
                <w:sz w:val="18"/>
                <w:szCs w:val="18"/>
              </w:rPr>
              <w:t>0</w:t>
            </w:r>
            <w:r w:rsidRPr="00A1132C">
              <w:rPr>
                <w:rStyle w:val="Bolds"/>
                <w:rFonts w:ascii="Arial" w:hAnsi="Arial" w:cs="Arial"/>
                <w:b w:val="0"/>
                <w:i/>
                <w:sz w:val="18"/>
                <w:szCs w:val="18"/>
              </w:rPr>
              <w:t xml:space="preserve"> </w:t>
            </w:r>
            <w:r w:rsidRPr="0073580A">
              <w:rPr>
                <w:rStyle w:val="Bolds"/>
                <w:rFonts w:ascii="Arial" w:hAnsi="Arial" w:cs="Arial"/>
                <w:b w:val="0"/>
                <w:i/>
                <w:sz w:val="18"/>
                <w:szCs w:val="18"/>
              </w:rPr>
              <w:t>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3A96A75" w:rsidR="00F23989" w:rsidRPr="0073580A" w:rsidRDefault="00A1132C" w:rsidP="00901197">
            <w:pPr>
              <w:pStyle w:val="Parameters"/>
              <w:tabs>
                <w:tab w:val="clear" w:pos="4820"/>
              </w:tabs>
              <w:spacing w:before="120" w:after="0" w:line="276" w:lineRule="auto"/>
              <w:ind w:left="0" w:firstLine="0"/>
              <w:rPr>
                <w:rStyle w:val="Bolds"/>
                <w:rFonts w:ascii="Arial" w:hAnsi="Arial" w:cs="Arial"/>
                <w:b w:val="0"/>
                <w:i/>
                <w:sz w:val="18"/>
                <w:szCs w:val="18"/>
              </w:rPr>
            </w:pPr>
            <w:proofErr w:type="spellStart"/>
            <w:r w:rsidRPr="00A1132C">
              <w:rPr>
                <w:rFonts w:ascii="Arial" w:hAnsi="Arial" w:cs="Arial"/>
                <w:i/>
                <w:iCs/>
                <w:sz w:val="18"/>
                <w:szCs w:val="18"/>
                <w:lang w:val="lt-LT"/>
              </w:rPr>
              <w:t>Lect</w:t>
            </w:r>
            <w:proofErr w:type="spellEnd"/>
            <w:r w:rsidRPr="00A1132C">
              <w:rPr>
                <w:rFonts w:ascii="Arial" w:hAnsi="Arial" w:cs="Arial"/>
                <w:i/>
                <w:iCs/>
                <w:sz w:val="18"/>
                <w:szCs w:val="18"/>
                <w:lang w:val="lt-LT"/>
              </w:rPr>
              <w:t>. Andrius Ivanauskas</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4E1E3CBB" w:rsidR="00AE7148" w:rsidRPr="0073580A" w:rsidRDefault="00A1132C" w:rsidP="00901197">
            <w:pPr>
              <w:pStyle w:val="Parameters"/>
              <w:tabs>
                <w:tab w:val="clear" w:pos="4820"/>
              </w:tabs>
              <w:spacing w:before="120" w:after="0" w:line="276" w:lineRule="auto"/>
              <w:ind w:left="0" w:firstLine="0"/>
              <w:rPr>
                <w:rFonts w:ascii="Arial" w:hAnsi="Arial" w:cs="Arial"/>
                <w:i/>
                <w:iCs/>
                <w:sz w:val="18"/>
                <w:szCs w:val="18"/>
                <w:highlight w:val="yellow"/>
              </w:rPr>
            </w:pPr>
            <w:r w:rsidRPr="00A1132C">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7E9D853A" w:rsidR="001B338B" w:rsidRPr="00A1132C" w:rsidRDefault="00A1132C" w:rsidP="00D700DA">
      <w:pPr>
        <w:spacing w:after="0" w:line="240" w:lineRule="auto"/>
        <w:jc w:val="both"/>
        <w:rPr>
          <w:rFonts w:ascii="Arial" w:hAnsi="Arial" w:cs="Arial"/>
          <w:sz w:val="18"/>
          <w:szCs w:val="18"/>
        </w:rPr>
      </w:pPr>
      <w:r>
        <w:rPr>
          <w:rFonts w:ascii="Arial" w:hAnsi="Arial" w:cs="Arial"/>
          <w:sz w:val="18"/>
          <w:szCs w:val="18"/>
        </w:rPr>
        <w:t>The course</w:t>
      </w:r>
      <w:r w:rsidRPr="00A1132C">
        <w:rPr>
          <w:rFonts w:ascii="Arial" w:hAnsi="Arial" w:cs="Arial"/>
          <w:sz w:val="18"/>
          <w:szCs w:val="18"/>
        </w:rPr>
        <w:t xml:space="preserve"> will introduce key concepts of business law with the selection based on </w:t>
      </w:r>
      <w:r>
        <w:rPr>
          <w:rFonts w:ascii="Arial" w:hAnsi="Arial" w:cs="Arial"/>
          <w:sz w:val="18"/>
          <w:szCs w:val="18"/>
        </w:rPr>
        <w:t>instructors’ practical experience</w:t>
      </w:r>
      <w:r w:rsidRPr="00A1132C">
        <w:rPr>
          <w:rFonts w:ascii="Arial" w:hAnsi="Arial" w:cs="Arial"/>
          <w:sz w:val="18"/>
          <w:szCs w:val="18"/>
        </w:rPr>
        <w:t xml:space="preserve"> in various business areas. Skipping the nitty-gritty and never forgetting ‘where is the money behind this legal rule’ is the perspective of the course. Picking up from the Lithuanian and EU business regulation, the legal rules will be put in international context in order the students are ready to establish and run their businesses in Lithuania and expand globally.</w:t>
      </w:r>
    </w:p>
    <w:p w14:paraId="6F18C2C7" w14:textId="77777777" w:rsidR="00A1132C" w:rsidRPr="0073580A" w:rsidRDefault="00A1132C"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0"/>
        <w:gridCol w:w="1401"/>
        <w:gridCol w:w="1590"/>
        <w:gridCol w:w="1731"/>
      </w:tblGrid>
      <w:tr w:rsidR="004A239B" w:rsidRPr="0073580A" w14:paraId="54B8549F" w14:textId="77777777" w:rsidTr="00EF165B">
        <w:trPr>
          <w:trHeight w:val="661"/>
        </w:trPr>
        <w:tc>
          <w:tcPr>
            <w:tcW w:w="263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0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996F09" w:rsidRPr="0073580A" w14:paraId="6F7EF77F" w14:textId="77777777" w:rsidTr="00EF165B">
        <w:trPr>
          <w:trHeight w:val="414"/>
        </w:trPr>
        <w:tc>
          <w:tcPr>
            <w:tcW w:w="2630" w:type="pct"/>
            <w:shd w:val="clear" w:color="auto" w:fill="auto"/>
          </w:tcPr>
          <w:p w14:paraId="3E933EDD" w14:textId="056C70FC" w:rsidR="00996F09" w:rsidRPr="00A36B9C" w:rsidRDefault="00996F09" w:rsidP="00996F09">
            <w:pPr>
              <w:widowControl w:val="0"/>
              <w:spacing w:before="120" w:after="0"/>
              <w:rPr>
                <w:rFonts w:ascii="Arial" w:hAnsi="Arial" w:cs="Arial"/>
                <w:sz w:val="18"/>
                <w:szCs w:val="18"/>
                <w:lang w:val="en-GB" w:eastAsia="lt-LT"/>
              </w:rPr>
            </w:pPr>
            <w:r w:rsidRPr="00A36B9C">
              <w:rPr>
                <w:rFonts w:ascii="Arial" w:hAnsi="Arial" w:cs="Arial"/>
                <w:sz w:val="18"/>
                <w:szCs w:val="18"/>
                <w:lang w:val="en-GB" w:eastAsia="lt-LT"/>
              </w:rPr>
              <w:t xml:space="preserve">CLO1. Students will be able to </w:t>
            </w:r>
            <w:r w:rsidR="005F2538">
              <w:rPr>
                <w:rFonts w:ascii="Arial" w:hAnsi="Arial" w:cs="Arial"/>
                <w:sz w:val="18"/>
                <w:szCs w:val="18"/>
                <w:lang w:val="en-GB" w:eastAsia="lt-LT"/>
              </w:rPr>
              <w:t>describe</w:t>
            </w:r>
            <w:r w:rsidR="005F2538" w:rsidRPr="005F2538">
              <w:rPr>
                <w:rFonts w:ascii="Arial" w:hAnsi="Arial" w:cs="Arial"/>
                <w:sz w:val="18"/>
                <w:szCs w:val="18"/>
                <w:lang w:val="en-GB" w:eastAsia="lt-LT"/>
              </w:rPr>
              <w:t xml:space="preserve"> the main legal acts regulating business environment</w:t>
            </w:r>
            <w:r w:rsidR="005F2538">
              <w:rPr>
                <w:rFonts w:ascii="Arial" w:hAnsi="Arial" w:cs="Arial"/>
                <w:sz w:val="18"/>
                <w:szCs w:val="18"/>
                <w:lang w:val="en-GB" w:eastAsia="lt-LT"/>
              </w:rPr>
              <w:t>.</w:t>
            </w:r>
          </w:p>
        </w:tc>
        <w:tc>
          <w:tcPr>
            <w:tcW w:w="703" w:type="pct"/>
            <w:shd w:val="clear" w:color="auto" w:fill="auto"/>
          </w:tcPr>
          <w:p w14:paraId="31DF7BBA" w14:textId="507EE73C" w:rsidR="00996F09" w:rsidRPr="0073580A" w:rsidRDefault="00996F09" w:rsidP="00996F09">
            <w:pPr>
              <w:widowControl w:val="0"/>
              <w:spacing w:before="120" w:after="0"/>
              <w:rPr>
                <w:rFonts w:ascii="Arial" w:hAnsi="Arial" w:cs="Arial"/>
                <w:sz w:val="18"/>
                <w:szCs w:val="18"/>
              </w:rPr>
            </w:pPr>
            <w:r>
              <w:rPr>
                <w:rFonts w:ascii="Arial" w:hAnsi="Arial" w:cs="Arial"/>
                <w:sz w:val="18"/>
                <w:szCs w:val="18"/>
                <w:lang w:val="lt-LT" w:eastAsia="lt-LT"/>
              </w:rPr>
              <w:t>BLO1.</w:t>
            </w:r>
            <w:r w:rsidR="00EF165B">
              <w:rPr>
                <w:rFonts w:ascii="Arial" w:hAnsi="Arial" w:cs="Arial"/>
                <w:sz w:val="18"/>
                <w:szCs w:val="18"/>
                <w:lang w:val="lt-LT" w:eastAsia="lt-LT"/>
              </w:rPr>
              <w:t>1</w:t>
            </w:r>
            <w:r>
              <w:rPr>
                <w:rFonts w:ascii="Arial" w:hAnsi="Arial" w:cs="Arial"/>
                <w:sz w:val="18"/>
                <w:szCs w:val="18"/>
                <w:lang w:val="lt-LT" w:eastAsia="lt-LT"/>
              </w:rPr>
              <w:t>., ELO1.1.</w:t>
            </w:r>
          </w:p>
        </w:tc>
        <w:tc>
          <w:tcPr>
            <w:tcW w:w="798" w:type="pct"/>
          </w:tcPr>
          <w:p w14:paraId="06D547C5" w14:textId="2C371531"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Midterm test</w:t>
            </w:r>
          </w:p>
        </w:tc>
        <w:tc>
          <w:tcPr>
            <w:tcW w:w="869" w:type="pct"/>
            <w:shd w:val="clear" w:color="auto" w:fill="auto"/>
          </w:tcPr>
          <w:p w14:paraId="659A676F" w14:textId="5834C1A1"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Lectures, seminars, self-study</w:t>
            </w:r>
          </w:p>
        </w:tc>
      </w:tr>
      <w:tr w:rsidR="00996F09" w:rsidRPr="0073580A" w14:paraId="452B344C" w14:textId="77777777" w:rsidTr="00EF165B">
        <w:trPr>
          <w:trHeight w:val="414"/>
        </w:trPr>
        <w:tc>
          <w:tcPr>
            <w:tcW w:w="2630" w:type="pct"/>
            <w:shd w:val="clear" w:color="auto" w:fill="auto"/>
          </w:tcPr>
          <w:p w14:paraId="73F76581" w14:textId="34465AED" w:rsidR="00D515A1" w:rsidRDefault="00996F09" w:rsidP="00996F09">
            <w:pPr>
              <w:widowControl w:val="0"/>
              <w:spacing w:before="120" w:after="0"/>
              <w:rPr>
                <w:rFonts w:ascii="Arial" w:hAnsi="Arial" w:cs="Arial"/>
                <w:sz w:val="18"/>
                <w:szCs w:val="18"/>
                <w:lang w:val="en-GB" w:eastAsia="lt-LT"/>
              </w:rPr>
            </w:pPr>
            <w:r w:rsidRPr="00A36B9C">
              <w:rPr>
                <w:rFonts w:ascii="Arial" w:hAnsi="Arial" w:cs="Arial"/>
                <w:sz w:val="18"/>
                <w:szCs w:val="18"/>
                <w:lang w:val="en-GB" w:eastAsia="lt-LT"/>
              </w:rPr>
              <w:t xml:space="preserve">CLO2. Students will be able to </w:t>
            </w:r>
            <w:r w:rsidR="00D515A1">
              <w:rPr>
                <w:rFonts w:ascii="Arial" w:hAnsi="Arial" w:cs="Arial"/>
                <w:sz w:val="18"/>
                <w:szCs w:val="18"/>
                <w:lang w:val="en-GB" w:eastAsia="lt-LT"/>
              </w:rPr>
              <w:t>understand the main principles of contact law, data protection law, competition law, labour law, and property law.</w:t>
            </w:r>
          </w:p>
          <w:p w14:paraId="74E9ABBC" w14:textId="6C8E80B0" w:rsidR="00996F09" w:rsidRPr="00A36B9C" w:rsidRDefault="00996F09" w:rsidP="00996F09">
            <w:pPr>
              <w:widowControl w:val="0"/>
              <w:spacing w:before="120" w:after="0"/>
              <w:rPr>
                <w:rFonts w:ascii="Arial" w:hAnsi="Arial" w:cs="Arial"/>
                <w:sz w:val="18"/>
                <w:szCs w:val="18"/>
                <w:lang w:val="en-GB"/>
              </w:rPr>
            </w:pPr>
          </w:p>
        </w:tc>
        <w:tc>
          <w:tcPr>
            <w:tcW w:w="703" w:type="pct"/>
            <w:shd w:val="clear" w:color="auto" w:fill="auto"/>
          </w:tcPr>
          <w:p w14:paraId="27EFF375" w14:textId="77777777" w:rsidR="00EF165B" w:rsidRDefault="00996F09" w:rsidP="00EF165B">
            <w:pPr>
              <w:widowControl w:val="0"/>
              <w:spacing w:after="0"/>
              <w:rPr>
                <w:rFonts w:ascii="Arial" w:hAnsi="Arial" w:cs="Arial"/>
                <w:sz w:val="18"/>
                <w:szCs w:val="18"/>
                <w:lang w:val="lt-LT" w:eastAsia="lt-LT"/>
              </w:rPr>
            </w:pPr>
            <w:r>
              <w:rPr>
                <w:rFonts w:ascii="Arial" w:hAnsi="Arial" w:cs="Arial"/>
                <w:sz w:val="18"/>
                <w:szCs w:val="18"/>
                <w:lang w:val="lt-LT" w:eastAsia="lt-LT"/>
              </w:rPr>
              <w:t>BLO1.2.,</w:t>
            </w:r>
          </w:p>
          <w:p w14:paraId="436E3B04" w14:textId="4A4AE6DA" w:rsidR="00996F09" w:rsidRPr="00EF165B" w:rsidRDefault="00996F09" w:rsidP="00EF165B">
            <w:pPr>
              <w:widowControl w:val="0"/>
              <w:spacing w:after="0"/>
              <w:rPr>
                <w:rFonts w:ascii="Arial" w:hAnsi="Arial" w:cs="Arial"/>
                <w:sz w:val="18"/>
                <w:szCs w:val="18"/>
                <w:lang w:val="lt-LT" w:eastAsia="lt-LT"/>
              </w:rPr>
            </w:pPr>
            <w:r>
              <w:rPr>
                <w:rFonts w:ascii="Arial" w:hAnsi="Arial" w:cs="Arial"/>
                <w:sz w:val="18"/>
                <w:szCs w:val="18"/>
                <w:lang w:val="lt-LT" w:eastAsia="lt-LT"/>
              </w:rPr>
              <w:t>ELO1.2.</w:t>
            </w:r>
          </w:p>
        </w:tc>
        <w:tc>
          <w:tcPr>
            <w:tcW w:w="798" w:type="pct"/>
          </w:tcPr>
          <w:p w14:paraId="0942311A" w14:textId="5C2774A0"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Midterm test, final exam</w:t>
            </w:r>
          </w:p>
        </w:tc>
        <w:tc>
          <w:tcPr>
            <w:tcW w:w="869" w:type="pct"/>
            <w:shd w:val="clear" w:color="auto" w:fill="auto"/>
          </w:tcPr>
          <w:p w14:paraId="76DADBB2" w14:textId="3687179B"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Lectures, seminars, self-study</w:t>
            </w:r>
          </w:p>
        </w:tc>
      </w:tr>
      <w:tr w:rsidR="00996F09" w:rsidRPr="0073580A" w14:paraId="219A2914" w14:textId="77777777" w:rsidTr="00EF165B">
        <w:trPr>
          <w:trHeight w:val="414"/>
        </w:trPr>
        <w:tc>
          <w:tcPr>
            <w:tcW w:w="2630" w:type="pct"/>
            <w:shd w:val="clear" w:color="auto" w:fill="auto"/>
          </w:tcPr>
          <w:p w14:paraId="25823289" w14:textId="066E5F46" w:rsidR="00996F09" w:rsidRPr="00A36B9C" w:rsidRDefault="00996F09" w:rsidP="00996F09">
            <w:pPr>
              <w:widowControl w:val="0"/>
              <w:spacing w:before="120" w:after="0"/>
              <w:rPr>
                <w:rFonts w:ascii="Arial" w:hAnsi="Arial" w:cs="Arial"/>
                <w:sz w:val="18"/>
                <w:szCs w:val="18"/>
                <w:lang w:val="en-GB" w:eastAsia="lt-LT"/>
              </w:rPr>
            </w:pPr>
            <w:r w:rsidRPr="00A36B9C">
              <w:rPr>
                <w:rFonts w:ascii="Arial" w:hAnsi="Arial" w:cs="Arial"/>
                <w:sz w:val="18"/>
                <w:szCs w:val="18"/>
                <w:lang w:val="en-GB" w:eastAsia="lt-LT"/>
              </w:rPr>
              <w:t xml:space="preserve">CLO3. Students will be </w:t>
            </w:r>
            <w:r w:rsidR="00D515A1">
              <w:rPr>
                <w:rFonts w:ascii="Arial" w:hAnsi="Arial" w:cs="Arial"/>
                <w:sz w:val="18"/>
                <w:szCs w:val="18"/>
                <w:lang w:val="en-GB" w:eastAsia="lt-LT"/>
              </w:rPr>
              <w:t>able to understand the main principles of financial regulation and tax system.</w:t>
            </w:r>
          </w:p>
        </w:tc>
        <w:tc>
          <w:tcPr>
            <w:tcW w:w="703" w:type="pct"/>
            <w:shd w:val="clear" w:color="auto" w:fill="auto"/>
          </w:tcPr>
          <w:p w14:paraId="20452BDD" w14:textId="5349BF4B" w:rsidR="00EF165B" w:rsidRDefault="00EF165B" w:rsidP="00EF165B">
            <w:pPr>
              <w:widowControl w:val="0"/>
              <w:spacing w:after="0"/>
              <w:rPr>
                <w:rFonts w:ascii="Arial" w:hAnsi="Arial" w:cs="Arial"/>
                <w:sz w:val="18"/>
                <w:szCs w:val="18"/>
                <w:lang w:val="lt-LT" w:eastAsia="lt-LT"/>
              </w:rPr>
            </w:pPr>
            <w:r>
              <w:rPr>
                <w:rFonts w:ascii="Arial" w:hAnsi="Arial" w:cs="Arial"/>
                <w:sz w:val="18"/>
                <w:szCs w:val="18"/>
                <w:lang w:val="lt-LT" w:eastAsia="lt-LT"/>
              </w:rPr>
              <w:t>BLO1.2.,</w:t>
            </w:r>
          </w:p>
          <w:p w14:paraId="0ED96CF7" w14:textId="03D1BCD0" w:rsidR="00996F09" w:rsidRPr="0073580A" w:rsidRDefault="00EF165B" w:rsidP="00EF165B">
            <w:pPr>
              <w:widowControl w:val="0"/>
              <w:spacing w:after="0"/>
              <w:rPr>
                <w:rFonts w:ascii="Arial" w:hAnsi="Arial" w:cs="Arial"/>
                <w:sz w:val="18"/>
                <w:szCs w:val="18"/>
              </w:rPr>
            </w:pPr>
            <w:r>
              <w:rPr>
                <w:rFonts w:ascii="Arial" w:hAnsi="Arial" w:cs="Arial"/>
                <w:sz w:val="18"/>
                <w:szCs w:val="18"/>
                <w:lang w:val="lt-LT" w:eastAsia="lt-LT"/>
              </w:rPr>
              <w:t>ELO1.2.</w:t>
            </w:r>
          </w:p>
        </w:tc>
        <w:tc>
          <w:tcPr>
            <w:tcW w:w="798" w:type="pct"/>
          </w:tcPr>
          <w:p w14:paraId="1BCCBF4D" w14:textId="606BF569" w:rsidR="00996F09" w:rsidRPr="007849F0" w:rsidRDefault="00D515A1" w:rsidP="00996F09">
            <w:pPr>
              <w:widowControl w:val="0"/>
              <w:spacing w:before="120" w:after="0"/>
              <w:rPr>
                <w:rFonts w:ascii="Arial" w:hAnsi="Arial" w:cs="Arial"/>
                <w:sz w:val="18"/>
                <w:szCs w:val="18"/>
                <w:lang w:val="en-GB"/>
              </w:rPr>
            </w:pPr>
            <w:r>
              <w:rPr>
                <w:rFonts w:ascii="Arial" w:hAnsi="Arial" w:cs="Arial"/>
                <w:sz w:val="18"/>
                <w:szCs w:val="18"/>
                <w:lang w:val="en-GB" w:eastAsia="lt-LT"/>
              </w:rPr>
              <w:t>F</w:t>
            </w:r>
            <w:r w:rsidR="00996F09" w:rsidRPr="007849F0">
              <w:rPr>
                <w:rFonts w:ascii="Arial" w:hAnsi="Arial" w:cs="Arial"/>
                <w:sz w:val="18"/>
                <w:szCs w:val="18"/>
                <w:lang w:val="en-GB" w:eastAsia="lt-LT"/>
              </w:rPr>
              <w:t>inal exam</w:t>
            </w:r>
          </w:p>
        </w:tc>
        <w:tc>
          <w:tcPr>
            <w:tcW w:w="869" w:type="pct"/>
            <w:shd w:val="clear" w:color="auto" w:fill="auto"/>
          </w:tcPr>
          <w:p w14:paraId="4636063D" w14:textId="28B29DF4"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Lectures, seminars, self-study</w:t>
            </w:r>
          </w:p>
        </w:tc>
      </w:tr>
      <w:tr w:rsidR="00996F09" w:rsidRPr="0073580A" w14:paraId="14656B4F" w14:textId="77777777" w:rsidTr="00EF165B">
        <w:trPr>
          <w:trHeight w:val="414"/>
        </w:trPr>
        <w:tc>
          <w:tcPr>
            <w:tcW w:w="2630" w:type="pct"/>
            <w:shd w:val="clear" w:color="auto" w:fill="auto"/>
          </w:tcPr>
          <w:p w14:paraId="3226B2B7" w14:textId="67626730" w:rsidR="00996F09" w:rsidRPr="00A36B9C" w:rsidRDefault="00996F09" w:rsidP="00996F09">
            <w:pPr>
              <w:widowControl w:val="0"/>
              <w:spacing w:before="120" w:after="0"/>
              <w:rPr>
                <w:rFonts w:ascii="Arial" w:hAnsi="Arial" w:cs="Arial"/>
                <w:sz w:val="18"/>
                <w:szCs w:val="18"/>
                <w:lang w:val="en-GB"/>
              </w:rPr>
            </w:pPr>
            <w:r w:rsidRPr="00A36B9C">
              <w:rPr>
                <w:rFonts w:ascii="Arial" w:hAnsi="Arial" w:cs="Arial"/>
                <w:sz w:val="18"/>
                <w:szCs w:val="18"/>
                <w:lang w:val="en-GB" w:eastAsia="lt-LT"/>
              </w:rPr>
              <w:t xml:space="preserve">CLO4. Students will be able to </w:t>
            </w:r>
            <w:r w:rsidR="00D515A1">
              <w:rPr>
                <w:rFonts w:ascii="Arial" w:hAnsi="Arial" w:cs="Arial"/>
                <w:sz w:val="18"/>
                <w:szCs w:val="18"/>
                <w:lang w:val="en-GB" w:eastAsia="lt-LT"/>
              </w:rPr>
              <w:t>analyse and solve practical business law problems.</w:t>
            </w:r>
          </w:p>
        </w:tc>
        <w:tc>
          <w:tcPr>
            <w:tcW w:w="703" w:type="pct"/>
            <w:shd w:val="clear" w:color="auto" w:fill="auto"/>
          </w:tcPr>
          <w:p w14:paraId="23A29E00" w14:textId="1C0C3162" w:rsidR="00EF165B" w:rsidRDefault="00EF165B" w:rsidP="00EF165B">
            <w:pPr>
              <w:widowControl w:val="0"/>
              <w:spacing w:after="0"/>
              <w:rPr>
                <w:rFonts w:ascii="Arial" w:hAnsi="Arial" w:cs="Arial"/>
                <w:sz w:val="18"/>
                <w:szCs w:val="18"/>
                <w:lang w:val="lt-LT" w:eastAsia="lt-LT"/>
              </w:rPr>
            </w:pPr>
            <w:r>
              <w:rPr>
                <w:rFonts w:ascii="Arial" w:hAnsi="Arial" w:cs="Arial"/>
                <w:sz w:val="18"/>
                <w:szCs w:val="18"/>
                <w:lang w:val="lt-LT" w:eastAsia="lt-LT"/>
              </w:rPr>
              <w:t xml:space="preserve">BLO1.2., </w:t>
            </w:r>
            <w:r w:rsidRPr="0093373D">
              <w:rPr>
                <w:rFonts w:ascii="Arial" w:hAnsi="Arial" w:cs="Arial"/>
                <w:sz w:val="18"/>
                <w:szCs w:val="18"/>
                <w:lang w:val="en-GB"/>
              </w:rPr>
              <w:t>BLO2.1.</w:t>
            </w:r>
            <w:r>
              <w:rPr>
                <w:rFonts w:ascii="Arial" w:hAnsi="Arial" w:cs="Arial"/>
                <w:sz w:val="18"/>
                <w:szCs w:val="18"/>
                <w:lang w:val="en-GB"/>
              </w:rPr>
              <w:t>,</w:t>
            </w:r>
          </w:p>
          <w:p w14:paraId="11A2F724" w14:textId="1ACF33C0" w:rsidR="00996F09" w:rsidRPr="0073580A" w:rsidRDefault="00EF165B" w:rsidP="00EF165B">
            <w:pPr>
              <w:widowControl w:val="0"/>
              <w:spacing w:after="0"/>
              <w:rPr>
                <w:rFonts w:ascii="Arial" w:hAnsi="Arial" w:cs="Arial"/>
                <w:sz w:val="18"/>
                <w:szCs w:val="18"/>
              </w:rPr>
            </w:pPr>
            <w:r>
              <w:rPr>
                <w:rFonts w:ascii="Arial" w:hAnsi="Arial" w:cs="Arial"/>
                <w:sz w:val="18"/>
                <w:szCs w:val="18"/>
                <w:lang w:val="lt-LT" w:eastAsia="lt-LT"/>
              </w:rPr>
              <w:t>ELO1.2.,</w:t>
            </w:r>
            <w:r w:rsidRPr="0093373D">
              <w:rPr>
                <w:rFonts w:ascii="Arial" w:hAnsi="Arial" w:cs="Arial"/>
                <w:sz w:val="18"/>
                <w:szCs w:val="18"/>
                <w:lang w:val="en-GB"/>
              </w:rPr>
              <w:t xml:space="preserve"> ELO2.1.</w:t>
            </w:r>
          </w:p>
        </w:tc>
        <w:tc>
          <w:tcPr>
            <w:tcW w:w="798" w:type="pct"/>
          </w:tcPr>
          <w:p w14:paraId="0C8DCD1F" w14:textId="2D257E7B"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Midterm test, final exam</w:t>
            </w:r>
          </w:p>
        </w:tc>
        <w:tc>
          <w:tcPr>
            <w:tcW w:w="869" w:type="pct"/>
            <w:shd w:val="clear" w:color="auto" w:fill="auto"/>
          </w:tcPr>
          <w:p w14:paraId="33EFDFB1" w14:textId="1A011A9A" w:rsidR="00996F09" w:rsidRPr="007849F0" w:rsidRDefault="00996F09" w:rsidP="00996F09">
            <w:pPr>
              <w:widowControl w:val="0"/>
              <w:spacing w:before="120" w:after="0"/>
              <w:rPr>
                <w:rFonts w:ascii="Arial" w:hAnsi="Arial" w:cs="Arial"/>
                <w:sz w:val="18"/>
                <w:szCs w:val="18"/>
                <w:lang w:val="en-GB"/>
              </w:rPr>
            </w:pPr>
            <w:r w:rsidRPr="007849F0">
              <w:rPr>
                <w:rFonts w:ascii="Arial" w:hAnsi="Arial" w:cs="Arial"/>
                <w:sz w:val="18"/>
                <w:szCs w:val="18"/>
                <w:lang w:val="en-GB" w:eastAsia="lt-LT"/>
              </w:rPr>
              <w:t>Lectures, seminars,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94ADE6E" w:rsidR="00114104" w:rsidRDefault="00A1132C" w:rsidP="00E43407">
      <w:pPr>
        <w:spacing w:after="0" w:line="240" w:lineRule="auto"/>
        <w:jc w:val="both"/>
        <w:rPr>
          <w:rFonts w:ascii="Arial" w:hAnsi="Arial" w:cs="Arial"/>
          <w:sz w:val="18"/>
          <w:szCs w:val="18"/>
        </w:rPr>
      </w:pPr>
      <w:r w:rsidRPr="00A1132C">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37E04727" w:rsidR="00B259CF" w:rsidRDefault="00B259CF" w:rsidP="00E43407">
      <w:pPr>
        <w:spacing w:after="0" w:line="240" w:lineRule="auto"/>
        <w:jc w:val="both"/>
        <w:rPr>
          <w:rFonts w:ascii="Arial" w:hAnsi="Arial" w:cs="Arial"/>
          <w:b/>
          <w:sz w:val="18"/>
          <w:szCs w:val="18"/>
        </w:rPr>
      </w:pPr>
      <w:r w:rsidRPr="0073580A">
        <w:rPr>
          <w:rFonts w:ascii="Arial" w:hAnsi="Arial" w:cs="Arial"/>
          <w:b/>
          <w:sz w:val="18"/>
          <w:szCs w:val="18"/>
        </w:rPr>
        <w:lastRenderedPageBreak/>
        <w:t>COURSE OUTLINE</w:t>
      </w:r>
    </w:p>
    <w:p w14:paraId="32168361" w14:textId="77777777" w:rsidR="00E02DA5" w:rsidRDefault="00E02DA5" w:rsidP="00E43407">
      <w:pPr>
        <w:spacing w:after="0" w:line="240" w:lineRule="auto"/>
        <w:jc w:val="both"/>
        <w:rPr>
          <w:rFonts w:ascii="Arial" w:hAnsi="Arial" w:cs="Arial"/>
          <w:b/>
          <w:sz w:val="18"/>
          <w:szCs w:val="18"/>
        </w:rPr>
      </w:pPr>
    </w:p>
    <w:p w14:paraId="142C52C5" w14:textId="29A6034A" w:rsidR="00E02DA5" w:rsidRPr="00E02DA5" w:rsidRDefault="00E02DA5" w:rsidP="00E43407">
      <w:pPr>
        <w:spacing w:after="0" w:line="240" w:lineRule="auto"/>
        <w:jc w:val="both"/>
        <w:rPr>
          <w:rFonts w:ascii="Arial" w:hAnsi="Arial" w:cs="Arial"/>
          <w:bCs/>
          <w:sz w:val="18"/>
          <w:szCs w:val="18"/>
        </w:rPr>
      </w:pPr>
      <w:r w:rsidRPr="00E02DA5">
        <w:rPr>
          <w:rFonts w:ascii="Arial" w:hAnsi="Arial" w:cs="Arial"/>
          <w:bCs/>
          <w:sz w:val="18"/>
          <w:szCs w:val="18"/>
        </w:rPr>
        <w:t>Please note that topics may be reshuffled at the choice of the lecturers</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0"/>
        <w:gridCol w:w="733"/>
        <w:gridCol w:w="1506"/>
        <w:gridCol w:w="4493"/>
      </w:tblGrid>
      <w:tr w:rsidR="005F38E9" w:rsidRPr="0073580A" w14:paraId="5BB3D477" w14:textId="77777777" w:rsidTr="00D426E5">
        <w:trPr>
          <w:trHeight w:val="514"/>
        </w:trPr>
        <w:tc>
          <w:tcPr>
            <w:tcW w:w="1621" w:type="pct"/>
            <w:shd w:val="clear" w:color="auto" w:fill="auto"/>
            <w:tcMar>
              <w:top w:w="14" w:type="dxa"/>
              <w:left w:w="115" w:type="dxa"/>
              <w:bottom w:w="14" w:type="dxa"/>
              <w:right w:w="115" w:type="dxa"/>
            </w:tcMar>
            <w:vAlign w:val="center"/>
          </w:tcPr>
          <w:p w14:paraId="5F6DB363" w14:textId="4C4C8B7D" w:rsidR="00E02DA5" w:rsidRPr="0073580A" w:rsidRDefault="00E02DA5" w:rsidP="00C72F62">
            <w:pPr>
              <w:spacing w:after="0"/>
              <w:rPr>
                <w:rFonts w:ascii="Arial" w:hAnsi="Arial" w:cs="Arial"/>
                <w:b/>
                <w:bCs/>
                <w:sz w:val="18"/>
                <w:szCs w:val="18"/>
              </w:rPr>
            </w:pPr>
            <w:r>
              <w:rPr>
                <w:rFonts w:ascii="Arial" w:hAnsi="Arial" w:cs="Arial"/>
                <w:b/>
                <w:bCs/>
                <w:sz w:val="18"/>
                <w:szCs w:val="18"/>
              </w:rPr>
              <w:t>Topic</w:t>
            </w:r>
            <w:r w:rsidR="009F71E3">
              <w:rPr>
                <w:rStyle w:val="FootnoteReference"/>
                <w:rFonts w:ascii="Arial" w:hAnsi="Arial" w:cs="Arial"/>
                <w:b/>
                <w:bCs/>
                <w:sz w:val="18"/>
                <w:szCs w:val="18"/>
              </w:rPr>
              <w:footnoteReference w:id="2"/>
            </w:r>
          </w:p>
        </w:tc>
        <w:tc>
          <w:tcPr>
            <w:tcW w:w="368" w:type="pct"/>
            <w:shd w:val="clear" w:color="auto" w:fill="auto"/>
            <w:tcMar>
              <w:top w:w="14" w:type="dxa"/>
              <w:left w:w="115" w:type="dxa"/>
              <w:bottom w:w="14" w:type="dxa"/>
              <w:right w:w="115" w:type="dxa"/>
            </w:tcMar>
            <w:vAlign w:val="center"/>
          </w:tcPr>
          <w:p w14:paraId="0E87C33F" w14:textId="3719C977" w:rsidR="00E02DA5" w:rsidRPr="0073580A" w:rsidRDefault="00E02DA5" w:rsidP="00E02DA5">
            <w:pPr>
              <w:spacing w:after="0"/>
              <w:rPr>
                <w:rFonts w:ascii="Arial" w:hAnsi="Arial" w:cs="Arial"/>
                <w:b/>
                <w:sz w:val="18"/>
                <w:szCs w:val="18"/>
              </w:rPr>
            </w:pPr>
            <w:r>
              <w:rPr>
                <w:rFonts w:ascii="Arial" w:hAnsi="Arial" w:cs="Arial"/>
                <w:b/>
                <w:sz w:val="18"/>
                <w:szCs w:val="18"/>
              </w:rPr>
              <w:t>In-class hours</w:t>
            </w:r>
          </w:p>
        </w:tc>
        <w:tc>
          <w:tcPr>
            <w:tcW w:w="756" w:type="pct"/>
            <w:vAlign w:val="center"/>
          </w:tcPr>
          <w:p w14:paraId="3BEAE985" w14:textId="76972DA2" w:rsidR="00E02DA5" w:rsidRPr="0073580A" w:rsidRDefault="001378A5" w:rsidP="00C72F62">
            <w:pPr>
              <w:spacing w:after="0"/>
              <w:rPr>
                <w:rFonts w:ascii="Arial" w:hAnsi="Arial" w:cs="Arial"/>
                <w:b/>
                <w:sz w:val="18"/>
                <w:szCs w:val="18"/>
              </w:rPr>
            </w:pPr>
            <w:r>
              <w:rPr>
                <w:rFonts w:ascii="Arial" w:hAnsi="Arial" w:cs="Arial"/>
                <w:b/>
                <w:sz w:val="18"/>
                <w:szCs w:val="18"/>
              </w:rPr>
              <w:t xml:space="preserve">WALLESS </w:t>
            </w:r>
            <w:r w:rsidR="00E02DA5">
              <w:rPr>
                <w:rFonts w:ascii="Arial" w:hAnsi="Arial" w:cs="Arial"/>
                <w:b/>
                <w:sz w:val="18"/>
                <w:szCs w:val="18"/>
              </w:rPr>
              <w:t>Lecturer</w:t>
            </w:r>
            <w:r w:rsidR="00E02DA5">
              <w:rPr>
                <w:rStyle w:val="FootnoteReference"/>
                <w:rFonts w:ascii="Arial" w:hAnsi="Arial" w:cs="Arial"/>
                <w:b/>
                <w:sz w:val="18"/>
                <w:szCs w:val="18"/>
              </w:rPr>
              <w:footnoteReference w:id="3"/>
            </w:r>
          </w:p>
        </w:tc>
        <w:tc>
          <w:tcPr>
            <w:tcW w:w="2255" w:type="pct"/>
            <w:shd w:val="clear" w:color="auto" w:fill="auto"/>
            <w:tcMar>
              <w:top w:w="14" w:type="dxa"/>
              <w:left w:w="115" w:type="dxa"/>
              <w:bottom w:w="14" w:type="dxa"/>
              <w:right w:w="115" w:type="dxa"/>
            </w:tcMar>
            <w:vAlign w:val="center"/>
          </w:tcPr>
          <w:p w14:paraId="0959F90B" w14:textId="6F3AC029" w:rsidR="00E02DA5" w:rsidRPr="0073580A" w:rsidRDefault="00E02DA5" w:rsidP="00E02DA5">
            <w:pPr>
              <w:spacing w:after="0"/>
              <w:rPr>
                <w:rFonts w:ascii="Arial" w:hAnsi="Arial" w:cs="Arial"/>
                <w:b/>
                <w:sz w:val="18"/>
                <w:szCs w:val="18"/>
              </w:rPr>
            </w:pPr>
            <w:r w:rsidRPr="0073580A">
              <w:rPr>
                <w:rFonts w:ascii="Arial" w:hAnsi="Arial" w:cs="Arial"/>
                <w:b/>
                <w:sz w:val="18"/>
                <w:szCs w:val="18"/>
              </w:rPr>
              <w:t>R</w:t>
            </w:r>
            <w:r>
              <w:rPr>
                <w:rFonts w:ascii="Arial" w:hAnsi="Arial" w:cs="Arial"/>
                <w:b/>
                <w:sz w:val="18"/>
                <w:szCs w:val="18"/>
              </w:rPr>
              <w:t>eadings</w:t>
            </w:r>
          </w:p>
        </w:tc>
      </w:tr>
      <w:tr w:rsidR="005F38E9" w:rsidRPr="0073580A" w14:paraId="18F3A468" w14:textId="77777777" w:rsidTr="00D426E5">
        <w:trPr>
          <w:trHeight w:val="314"/>
        </w:trPr>
        <w:tc>
          <w:tcPr>
            <w:tcW w:w="1621" w:type="pct"/>
            <w:tcMar>
              <w:top w:w="72" w:type="dxa"/>
              <w:left w:w="115" w:type="dxa"/>
              <w:bottom w:w="72" w:type="dxa"/>
              <w:right w:w="115" w:type="dxa"/>
            </w:tcMar>
            <w:vAlign w:val="center"/>
          </w:tcPr>
          <w:p w14:paraId="7962C7E7" w14:textId="62E0E6B5" w:rsidR="00E02DA5" w:rsidRPr="004A749D" w:rsidRDefault="00E02DA5" w:rsidP="00C72F62">
            <w:pPr>
              <w:pStyle w:val="ListParagraph"/>
              <w:numPr>
                <w:ilvl w:val="0"/>
                <w:numId w:val="31"/>
              </w:numPr>
              <w:spacing w:after="0"/>
              <w:ind w:left="447" w:hanging="425"/>
              <w:rPr>
                <w:rFonts w:ascii="Arial" w:hAnsi="Arial" w:cs="Arial"/>
                <w:sz w:val="18"/>
                <w:szCs w:val="18"/>
              </w:rPr>
            </w:pPr>
            <w:r w:rsidRPr="00A90B93">
              <w:rPr>
                <w:rFonts w:ascii="Arial" w:hAnsi="Arial" w:cs="Arial"/>
                <w:b/>
                <w:bCs/>
                <w:sz w:val="18"/>
                <w:szCs w:val="18"/>
                <w:lang w:val="en-GB"/>
              </w:rPr>
              <w:t>Business organisations</w:t>
            </w:r>
            <w:r w:rsidRPr="00A90B93">
              <w:rPr>
                <w:rFonts w:ascii="Arial" w:hAnsi="Arial" w:cs="Arial"/>
                <w:sz w:val="18"/>
                <w:szCs w:val="18"/>
                <w:lang w:val="en-GB"/>
              </w:rPr>
              <w:t xml:space="preserve">. Types of business organisations. </w:t>
            </w:r>
            <w:r>
              <w:rPr>
                <w:rFonts w:ascii="Arial" w:hAnsi="Arial" w:cs="Arial"/>
                <w:sz w:val="18"/>
                <w:szCs w:val="18"/>
                <w:lang w:val="en-GB"/>
              </w:rPr>
              <w:t>Responsibilities of management. L</w:t>
            </w:r>
            <w:r w:rsidRPr="00A90B93">
              <w:rPr>
                <w:rFonts w:ascii="Arial" w:hAnsi="Arial" w:cs="Arial"/>
                <w:sz w:val="18"/>
                <w:szCs w:val="18"/>
                <w:lang w:val="en-GB"/>
              </w:rPr>
              <w:t xml:space="preserve">iability of </w:t>
            </w:r>
            <w:r>
              <w:rPr>
                <w:rFonts w:ascii="Arial" w:hAnsi="Arial" w:cs="Arial"/>
                <w:sz w:val="18"/>
                <w:szCs w:val="18"/>
                <w:lang w:val="en-GB"/>
              </w:rPr>
              <w:t>shareholders</w:t>
            </w:r>
            <w:r w:rsidRPr="00A90B93">
              <w:rPr>
                <w:rFonts w:ascii="Arial" w:hAnsi="Arial" w:cs="Arial"/>
                <w:sz w:val="18"/>
                <w:szCs w:val="18"/>
                <w:lang w:val="en-GB"/>
              </w:rPr>
              <w:t>.</w:t>
            </w:r>
            <w:r w:rsidR="00E04C94">
              <w:rPr>
                <w:rFonts w:ascii="Arial" w:hAnsi="Arial" w:cs="Arial"/>
                <w:sz w:val="18"/>
                <w:szCs w:val="18"/>
                <w:lang w:val="en-GB"/>
              </w:rPr>
              <w:t xml:space="preserve"> Divergent interest of management, creditors and stakeholders.</w:t>
            </w:r>
            <w:r w:rsidRPr="00A90B93">
              <w:rPr>
                <w:rFonts w:ascii="Arial" w:hAnsi="Arial" w:cs="Arial"/>
                <w:sz w:val="18"/>
                <w:szCs w:val="18"/>
                <w:lang w:val="en-GB"/>
              </w:rPr>
              <w:t xml:space="preserve"> </w:t>
            </w:r>
            <w:r w:rsidR="00C92F5E">
              <w:rPr>
                <w:rFonts w:ascii="Arial" w:hAnsi="Arial" w:cs="Arial"/>
                <w:sz w:val="18"/>
                <w:szCs w:val="18"/>
                <w:lang w:val="en-GB"/>
              </w:rPr>
              <w:t>Corporate c</w:t>
            </w:r>
            <w:r w:rsidRPr="00A90B93">
              <w:rPr>
                <w:rFonts w:ascii="Arial" w:hAnsi="Arial" w:cs="Arial"/>
                <w:sz w:val="18"/>
                <w:szCs w:val="18"/>
                <w:lang w:val="en-GB"/>
              </w:rPr>
              <w:t>apital</w:t>
            </w:r>
            <w:r w:rsidR="00C92F5E">
              <w:rPr>
                <w:rFonts w:ascii="Arial" w:hAnsi="Arial" w:cs="Arial"/>
                <w:sz w:val="18"/>
                <w:szCs w:val="18"/>
                <w:lang w:val="en-GB"/>
              </w:rPr>
              <w:t xml:space="preserve"> and its</w:t>
            </w:r>
            <w:r w:rsidRPr="00A90B93">
              <w:rPr>
                <w:rFonts w:ascii="Arial" w:hAnsi="Arial" w:cs="Arial"/>
                <w:sz w:val="18"/>
                <w:szCs w:val="18"/>
                <w:lang w:val="en-GB"/>
              </w:rPr>
              <w:t xml:space="preserve"> maintenance.</w:t>
            </w:r>
          </w:p>
          <w:p w14:paraId="6744BF97" w14:textId="77777777" w:rsidR="00E02DA5" w:rsidRDefault="00E02DA5" w:rsidP="00C72F62">
            <w:pPr>
              <w:spacing w:after="0"/>
              <w:ind w:left="447" w:hanging="425"/>
              <w:rPr>
                <w:rFonts w:ascii="Arial" w:hAnsi="Arial" w:cs="Arial"/>
                <w:sz w:val="18"/>
                <w:szCs w:val="18"/>
              </w:rPr>
            </w:pPr>
          </w:p>
          <w:p w14:paraId="5FC0964A" w14:textId="42BC2BA7" w:rsidR="00E02DA5" w:rsidRPr="004A749D" w:rsidRDefault="00904B67" w:rsidP="00C72F62">
            <w:pPr>
              <w:spacing w:after="0"/>
              <w:ind w:left="447" w:hanging="425"/>
              <w:rPr>
                <w:rFonts w:ascii="Arial" w:hAnsi="Arial" w:cs="Arial"/>
                <w:sz w:val="18"/>
                <w:szCs w:val="18"/>
              </w:rPr>
            </w:pPr>
            <w:r>
              <w:rPr>
                <w:rFonts w:ascii="Arial" w:hAnsi="Arial" w:cs="Arial"/>
                <w:sz w:val="18"/>
                <w:szCs w:val="18"/>
              </w:rPr>
              <w:tab/>
            </w:r>
            <w:r w:rsidR="00E02DA5">
              <w:rPr>
                <w:rFonts w:ascii="Arial" w:hAnsi="Arial" w:cs="Arial"/>
                <w:sz w:val="18"/>
                <w:szCs w:val="18"/>
              </w:rPr>
              <w:t>With intro: where to find the law?</w:t>
            </w:r>
          </w:p>
        </w:tc>
        <w:tc>
          <w:tcPr>
            <w:tcW w:w="368" w:type="pct"/>
            <w:tcMar>
              <w:top w:w="72" w:type="dxa"/>
              <w:left w:w="115" w:type="dxa"/>
              <w:bottom w:w="72" w:type="dxa"/>
              <w:right w:w="115" w:type="dxa"/>
            </w:tcMar>
            <w:vAlign w:val="center"/>
          </w:tcPr>
          <w:p w14:paraId="4C428945" w14:textId="584F80A3" w:rsidR="00E02DA5" w:rsidRPr="0073580A" w:rsidRDefault="00E02DA5" w:rsidP="00D43AE3">
            <w:pPr>
              <w:spacing w:after="0"/>
              <w:jc w:val="center"/>
              <w:rPr>
                <w:rFonts w:ascii="Arial" w:hAnsi="Arial" w:cs="Arial"/>
                <w:bCs/>
                <w:sz w:val="18"/>
                <w:szCs w:val="18"/>
              </w:rPr>
            </w:pPr>
            <w:r>
              <w:rPr>
                <w:rFonts w:ascii="Arial" w:hAnsi="Arial" w:cs="Arial"/>
                <w:bCs/>
                <w:sz w:val="18"/>
                <w:szCs w:val="18"/>
              </w:rPr>
              <w:t>4</w:t>
            </w:r>
          </w:p>
        </w:tc>
        <w:tc>
          <w:tcPr>
            <w:tcW w:w="756" w:type="pct"/>
            <w:vAlign w:val="center"/>
          </w:tcPr>
          <w:p w14:paraId="214D09CC" w14:textId="6E786441" w:rsidR="00E02DA5" w:rsidRPr="00E02DA5" w:rsidRDefault="00E02DA5" w:rsidP="00C72F62">
            <w:pPr>
              <w:spacing w:after="0"/>
              <w:rPr>
                <w:rFonts w:ascii="Arial" w:hAnsi="Arial" w:cs="Arial"/>
                <w:bCs/>
                <w:sz w:val="18"/>
                <w:szCs w:val="18"/>
              </w:rPr>
            </w:pPr>
            <w:r w:rsidRPr="00E02DA5">
              <w:rPr>
                <w:rFonts w:ascii="Arial" w:hAnsi="Arial" w:cs="Arial"/>
                <w:bCs/>
                <w:sz w:val="18"/>
                <w:szCs w:val="18"/>
              </w:rPr>
              <w:t>Andrius Ivanauskas</w:t>
            </w:r>
          </w:p>
        </w:tc>
        <w:tc>
          <w:tcPr>
            <w:tcW w:w="2255" w:type="pct"/>
            <w:tcMar>
              <w:top w:w="72" w:type="dxa"/>
              <w:left w:w="115" w:type="dxa"/>
              <w:bottom w:w="72" w:type="dxa"/>
              <w:right w:w="115" w:type="dxa"/>
            </w:tcMar>
            <w:vAlign w:val="center"/>
          </w:tcPr>
          <w:p w14:paraId="1316D0AE" w14:textId="3FF72647" w:rsidR="00E02DA5" w:rsidRDefault="00E02DA5" w:rsidP="001E2881">
            <w:pPr>
              <w:spacing w:after="0"/>
              <w:rPr>
                <w:rFonts w:ascii="Arial" w:hAnsi="Arial" w:cs="Arial"/>
                <w:bCs/>
                <w:sz w:val="18"/>
                <w:szCs w:val="18"/>
              </w:rPr>
            </w:pPr>
            <w:r>
              <w:rPr>
                <w:rFonts w:ascii="Arial" w:hAnsi="Arial" w:cs="Arial"/>
                <w:bCs/>
                <w:sz w:val="18"/>
                <w:szCs w:val="18"/>
              </w:rPr>
              <w:t xml:space="preserve">Article 2.50 </w:t>
            </w:r>
            <w:r w:rsidR="007849F0">
              <w:rPr>
                <w:rFonts w:ascii="Arial" w:hAnsi="Arial" w:cs="Arial"/>
                <w:bCs/>
                <w:sz w:val="18"/>
                <w:szCs w:val="18"/>
              </w:rPr>
              <w:t xml:space="preserve">Lithuanian </w:t>
            </w:r>
            <w:r>
              <w:rPr>
                <w:rFonts w:ascii="Arial" w:hAnsi="Arial" w:cs="Arial"/>
                <w:bCs/>
                <w:sz w:val="18"/>
                <w:szCs w:val="18"/>
              </w:rPr>
              <w:t>Civil Code</w:t>
            </w:r>
          </w:p>
          <w:p w14:paraId="02C41C64" w14:textId="00C1BF22" w:rsidR="00E02DA5" w:rsidRDefault="00E02DA5" w:rsidP="004A749D">
            <w:pPr>
              <w:spacing w:after="0"/>
              <w:rPr>
                <w:rFonts w:ascii="Arial" w:hAnsi="Arial" w:cs="Arial"/>
                <w:bCs/>
                <w:sz w:val="18"/>
                <w:szCs w:val="18"/>
              </w:rPr>
            </w:pPr>
            <w:r>
              <w:rPr>
                <w:rFonts w:ascii="Arial" w:hAnsi="Arial" w:cs="Arial"/>
                <w:bCs/>
                <w:sz w:val="18"/>
                <w:szCs w:val="18"/>
              </w:rPr>
              <w:t xml:space="preserve">Article 2.87 </w:t>
            </w:r>
            <w:r w:rsidR="007849F0">
              <w:rPr>
                <w:rFonts w:ascii="Arial" w:hAnsi="Arial" w:cs="Arial"/>
                <w:bCs/>
                <w:sz w:val="18"/>
                <w:szCs w:val="18"/>
              </w:rPr>
              <w:t xml:space="preserve">Lithuanian </w:t>
            </w:r>
            <w:r>
              <w:rPr>
                <w:rFonts w:ascii="Arial" w:hAnsi="Arial" w:cs="Arial"/>
                <w:bCs/>
                <w:sz w:val="18"/>
                <w:szCs w:val="18"/>
              </w:rPr>
              <w:t>Civil Code</w:t>
            </w:r>
          </w:p>
          <w:p w14:paraId="2B34670E" w14:textId="77777777" w:rsidR="00E02DA5" w:rsidRDefault="00E02DA5" w:rsidP="004A749D">
            <w:pPr>
              <w:spacing w:after="0"/>
              <w:rPr>
                <w:rFonts w:ascii="Arial" w:hAnsi="Arial" w:cs="Arial"/>
                <w:bCs/>
                <w:sz w:val="18"/>
                <w:szCs w:val="18"/>
              </w:rPr>
            </w:pPr>
          </w:p>
          <w:p w14:paraId="7ACF6EE8" w14:textId="3E8C6611" w:rsidR="00E02DA5" w:rsidRPr="00904B67" w:rsidRDefault="00E02DA5" w:rsidP="004A749D">
            <w:pPr>
              <w:spacing w:after="0"/>
              <w:rPr>
                <w:rFonts w:ascii="Arial" w:hAnsi="Arial" w:cs="Arial"/>
                <w:bCs/>
                <w:sz w:val="18"/>
                <w:szCs w:val="18"/>
              </w:rPr>
            </w:pPr>
            <w:r w:rsidRPr="0058506B">
              <w:rPr>
                <w:rFonts w:ascii="Arial" w:hAnsi="Arial" w:cs="Arial"/>
                <w:bCs/>
                <w:sz w:val="18"/>
                <w:szCs w:val="18"/>
                <w:u w:val="single"/>
              </w:rPr>
              <w:t>Optional</w:t>
            </w:r>
            <w:r w:rsidRPr="00904B67">
              <w:rPr>
                <w:rFonts w:ascii="Arial" w:hAnsi="Arial" w:cs="Arial"/>
                <w:bCs/>
                <w:sz w:val="18"/>
                <w:szCs w:val="18"/>
              </w:rPr>
              <w:t xml:space="preserve">: </w:t>
            </w:r>
          </w:p>
          <w:p w14:paraId="2BD1D969" w14:textId="77777777" w:rsidR="00E02DA5" w:rsidRDefault="00E02DA5" w:rsidP="001E2881">
            <w:pPr>
              <w:spacing w:after="0"/>
              <w:rPr>
                <w:rFonts w:ascii="Arial" w:hAnsi="Arial" w:cs="Arial"/>
                <w:bCs/>
                <w:sz w:val="18"/>
                <w:szCs w:val="18"/>
              </w:rPr>
            </w:pPr>
            <w:proofErr w:type="spellStart"/>
            <w:r w:rsidRPr="001E2881">
              <w:rPr>
                <w:rFonts w:ascii="Arial" w:hAnsi="Arial" w:cs="Arial"/>
                <w:bCs/>
                <w:i/>
                <w:iCs/>
                <w:sz w:val="18"/>
                <w:szCs w:val="18"/>
              </w:rPr>
              <w:t>Kraakman</w:t>
            </w:r>
            <w:proofErr w:type="spellEnd"/>
            <w:r w:rsidRPr="001E2881">
              <w:rPr>
                <w:rFonts w:ascii="Arial" w:hAnsi="Arial" w:cs="Arial"/>
                <w:bCs/>
                <w:i/>
                <w:iCs/>
                <w:sz w:val="18"/>
                <w:szCs w:val="18"/>
              </w:rPr>
              <w:t>, et al</w:t>
            </w:r>
            <w:r>
              <w:rPr>
                <w:rFonts w:ascii="Arial" w:hAnsi="Arial" w:cs="Arial"/>
                <w:bCs/>
                <w:sz w:val="18"/>
                <w:szCs w:val="18"/>
              </w:rPr>
              <w:t xml:space="preserve">. </w:t>
            </w:r>
            <w:r w:rsidRPr="004A749D">
              <w:rPr>
                <w:rFonts w:ascii="Arial" w:hAnsi="Arial" w:cs="Arial"/>
                <w:bCs/>
                <w:sz w:val="18"/>
                <w:szCs w:val="18"/>
              </w:rPr>
              <w:t>The Anatomy of Corporate Law</w:t>
            </w:r>
            <w:r>
              <w:rPr>
                <w:rFonts w:ascii="Arial" w:hAnsi="Arial" w:cs="Arial"/>
                <w:bCs/>
                <w:sz w:val="18"/>
                <w:szCs w:val="18"/>
              </w:rPr>
              <w:t xml:space="preserve">: </w:t>
            </w:r>
            <w:r w:rsidRPr="004A749D">
              <w:rPr>
                <w:rFonts w:ascii="Arial" w:hAnsi="Arial" w:cs="Arial"/>
                <w:bCs/>
                <w:sz w:val="18"/>
                <w:szCs w:val="18"/>
              </w:rPr>
              <w:t>A Comparative and Functional Approach</w:t>
            </w:r>
          </w:p>
          <w:p w14:paraId="2F98EE1D" w14:textId="46FB8B7F" w:rsidR="00E04C94" w:rsidRPr="0073580A" w:rsidRDefault="00E04C94" w:rsidP="001E2881">
            <w:pPr>
              <w:spacing w:after="0"/>
              <w:rPr>
                <w:rFonts w:ascii="Arial" w:hAnsi="Arial" w:cs="Arial"/>
                <w:bCs/>
                <w:sz w:val="18"/>
                <w:szCs w:val="18"/>
              </w:rPr>
            </w:pPr>
            <w:r>
              <w:rPr>
                <w:rFonts w:ascii="Arial" w:hAnsi="Arial" w:cs="Arial"/>
                <w:bCs/>
                <w:sz w:val="18"/>
                <w:szCs w:val="18"/>
              </w:rPr>
              <w:t>Bird and Fortune interview – Subprime Crisis</w:t>
            </w:r>
            <w:r w:rsidR="006F2DE9">
              <w:rPr>
                <w:rFonts w:ascii="Arial" w:hAnsi="Arial" w:cs="Arial"/>
                <w:bCs/>
                <w:sz w:val="18"/>
                <w:szCs w:val="18"/>
              </w:rPr>
              <w:t xml:space="preserve"> (</w:t>
            </w:r>
            <w:hyperlink r:id="rId7" w:history="1">
              <w:r w:rsidR="006F2DE9" w:rsidRPr="00254BA4">
                <w:rPr>
                  <w:rStyle w:val="Hyperlink"/>
                  <w:rFonts w:ascii="Arial" w:hAnsi="Arial" w:cs="Arial"/>
                  <w:bCs/>
                  <w:sz w:val="18"/>
                  <w:szCs w:val="18"/>
                </w:rPr>
                <w:t>link</w:t>
              </w:r>
            </w:hyperlink>
            <w:r w:rsidR="006F2DE9">
              <w:rPr>
                <w:rFonts w:ascii="Arial" w:hAnsi="Arial" w:cs="Arial"/>
                <w:bCs/>
                <w:sz w:val="18"/>
                <w:szCs w:val="18"/>
              </w:rPr>
              <w:t>)</w:t>
            </w:r>
          </w:p>
        </w:tc>
      </w:tr>
      <w:tr w:rsidR="005F38E9" w:rsidRPr="004A749D" w14:paraId="01471B54" w14:textId="77777777" w:rsidTr="00D426E5">
        <w:trPr>
          <w:trHeight w:val="312"/>
        </w:trPr>
        <w:tc>
          <w:tcPr>
            <w:tcW w:w="1621" w:type="pct"/>
            <w:tcMar>
              <w:top w:w="72" w:type="dxa"/>
              <w:left w:w="115" w:type="dxa"/>
              <w:bottom w:w="72" w:type="dxa"/>
              <w:right w:w="115" w:type="dxa"/>
            </w:tcMar>
            <w:vAlign w:val="center"/>
          </w:tcPr>
          <w:p w14:paraId="7B7EB40A" w14:textId="4B3F728C" w:rsidR="0058506B" w:rsidRPr="00E27ACC" w:rsidRDefault="0058506B" w:rsidP="0058506B">
            <w:pPr>
              <w:pStyle w:val="ListParagraph"/>
              <w:numPr>
                <w:ilvl w:val="0"/>
                <w:numId w:val="31"/>
              </w:numPr>
              <w:spacing w:after="0"/>
              <w:ind w:left="447" w:hanging="425"/>
              <w:rPr>
                <w:rFonts w:ascii="Arial" w:hAnsi="Arial" w:cs="Arial"/>
                <w:bCs/>
                <w:sz w:val="18"/>
                <w:szCs w:val="18"/>
                <w:lang w:val="en-GB"/>
              </w:rPr>
            </w:pPr>
            <w:r w:rsidRPr="009A48D7">
              <w:rPr>
                <w:rFonts w:ascii="Arial" w:hAnsi="Arial" w:cs="Arial"/>
                <w:b/>
                <w:bCs/>
                <w:sz w:val="18"/>
                <w:szCs w:val="18"/>
                <w:lang w:val="en-GB"/>
              </w:rPr>
              <w:t xml:space="preserve">Contracts. </w:t>
            </w:r>
            <w:r w:rsidRPr="009A48D7">
              <w:rPr>
                <w:rFonts w:ascii="Arial" w:hAnsi="Arial" w:cs="Arial"/>
                <w:sz w:val="18"/>
                <w:szCs w:val="18"/>
                <w:lang w:val="en-GB"/>
              </w:rPr>
              <w:t>Formation of contracts. Precontractual relations. Signatures. Invalid contracts and their effects. Suspension of contracts. Termination. Liability and its limitations. Loss. Penalties.</w:t>
            </w:r>
            <w:r w:rsidRPr="009A48D7">
              <w:rPr>
                <w:rFonts w:ascii="Arial" w:hAnsi="Arial" w:cs="Arial"/>
                <w:b/>
                <w:bCs/>
                <w:sz w:val="18"/>
                <w:szCs w:val="18"/>
                <w:lang w:val="en-GB"/>
              </w:rPr>
              <w:t xml:space="preserve">  </w:t>
            </w:r>
          </w:p>
        </w:tc>
        <w:tc>
          <w:tcPr>
            <w:tcW w:w="368" w:type="pct"/>
            <w:tcMar>
              <w:top w:w="72" w:type="dxa"/>
              <w:left w:w="115" w:type="dxa"/>
              <w:bottom w:w="72" w:type="dxa"/>
              <w:right w:w="115" w:type="dxa"/>
            </w:tcMar>
            <w:vAlign w:val="center"/>
          </w:tcPr>
          <w:p w14:paraId="64B2CE97" w14:textId="79200573" w:rsidR="0058506B" w:rsidRPr="00E27ACC" w:rsidRDefault="0058506B" w:rsidP="0058506B">
            <w:pPr>
              <w:spacing w:after="0"/>
              <w:jc w:val="center"/>
              <w:rPr>
                <w:rFonts w:ascii="Arial" w:hAnsi="Arial" w:cs="Arial"/>
                <w:bCs/>
                <w:sz w:val="18"/>
                <w:szCs w:val="18"/>
                <w:lang w:val="en-GB"/>
              </w:rPr>
            </w:pPr>
            <w:r w:rsidRPr="009A48D7">
              <w:rPr>
                <w:rFonts w:ascii="Arial" w:hAnsi="Arial" w:cs="Arial"/>
                <w:bCs/>
                <w:sz w:val="18"/>
                <w:szCs w:val="18"/>
                <w:lang w:val="en-GB"/>
              </w:rPr>
              <w:t>4</w:t>
            </w:r>
          </w:p>
        </w:tc>
        <w:tc>
          <w:tcPr>
            <w:tcW w:w="756" w:type="pct"/>
            <w:vAlign w:val="center"/>
          </w:tcPr>
          <w:p w14:paraId="2290AA49" w14:textId="6F838526" w:rsidR="0058506B" w:rsidRPr="00E27ACC" w:rsidRDefault="0058506B" w:rsidP="0058506B">
            <w:pPr>
              <w:spacing w:after="0"/>
              <w:rPr>
                <w:rFonts w:ascii="Arial" w:hAnsi="Arial" w:cs="Arial"/>
                <w:bCs/>
                <w:sz w:val="18"/>
                <w:szCs w:val="18"/>
                <w:lang w:val="en-GB"/>
              </w:rPr>
            </w:pPr>
            <w:r w:rsidRPr="009A48D7">
              <w:rPr>
                <w:rFonts w:ascii="Arial" w:hAnsi="Arial" w:cs="Arial"/>
                <w:bCs/>
                <w:sz w:val="18"/>
                <w:szCs w:val="18"/>
                <w:lang w:val="it-IT"/>
              </w:rPr>
              <w:t xml:space="preserve">Prof. Dr. Simona Drukteinienė / </w:t>
            </w:r>
            <w:r w:rsidR="009C1018">
              <w:rPr>
                <w:rFonts w:ascii="Arial" w:hAnsi="Arial" w:cs="Arial"/>
                <w:bCs/>
                <w:sz w:val="18"/>
                <w:szCs w:val="18"/>
                <w:lang w:val="it-IT"/>
              </w:rPr>
              <w:t>Tomas Balčiūnas</w:t>
            </w:r>
            <w:r w:rsidRPr="009A48D7">
              <w:rPr>
                <w:rFonts w:ascii="Arial" w:hAnsi="Arial" w:cs="Arial"/>
                <w:bCs/>
                <w:sz w:val="18"/>
                <w:szCs w:val="18"/>
                <w:lang w:val="it-IT"/>
              </w:rPr>
              <w:t xml:space="preserve"> </w:t>
            </w:r>
          </w:p>
        </w:tc>
        <w:tc>
          <w:tcPr>
            <w:tcW w:w="2255" w:type="pct"/>
            <w:tcMar>
              <w:top w:w="72" w:type="dxa"/>
              <w:left w:w="115" w:type="dxa"/>
              <w:bottom w:w="72" w:type="dxa"/>
              <w:right w:w="115" w:type="dxa"/>
            </w:tcMar>
            <w:vAlign w:val="center"/>
          </w:tcPr>
          <w:p w14:paraId="59AF23AA" w14:textId="77777777" w:rsidR="0058506B" w:rsidRPr="009A48D7" w:rsidRDefault="0058506B" w:rsidP="0058506B">
            <w:pPr>
              <w:spacing w:after="0"/>
              <w:rPr>
                <w:rFonts w:ascii="Arial" w:hAnsi="Arial" w:cs="Arial"/>
                <w:bCs/>
                <w:sz w:val="18"/>
                <w:szCs w:val="18"/>
              </w:rPr>
            </w:pPr>
            <w:r w:rsidRPr="009A48D7">
              <w:rPr>
                <w:rFonts w:ascii="Arial" w:hAnsi="Arial" w:cs="Arial"/>
                <w:bCs/>
                <w:sz w:val="18"/>
                <w:szCs w:val="18"/>
              </w:rPr>
              <w:t xml:space="preserve">Articles 6.154–6.228 </w:t>
            </w:r>
            <w:r>
              <w:rPr>
                <w:rFonts w:ascii="Arial" w:hAnsi="Arial" w:cs="Arial"/>
                <w:bCs/>
                <w:sz w:val="18"/>
                <w:szCs w:val="18"/>
              </w:rPr>
              <w:t xml:space="preserve">and </w:t>
            </w:r>
            <w:r w:rsidRPr="00102E9C">
              <w:rPr>
                <w:rFonts w:ascii="Arial" w:hAnsi="Arial" w:cs="Arial"/>
                <w:bCs/>
                <w:sz w:val="18"/>
                <w:szCs w:val="18"/>
              </w:rPr>
              <w:t>6.245</w:t>
            </w:r>
            <w:r w:rsidRPr="009A48D7">
              <w:rPr>
                <w:rFonts w:ascii="Arial" w:hAnsi="Arial" w:cs="Arial"/>
                <w:bCs/>
                <w:sz w:val="18"/>
                <w:szCs w:val="18"/>
              </w:rPr>
              <w:t>–</w:t>
            </w:r>
            <w:r w:rsidRPr="00102E9C">
              <w:rPr>
                <w:rFonts w:ascii="Arial" w:hAnsi="Arial" w:cs="Arial"/>
                <w:bCs/>
                <w:sz w:val="18"/>
                <w:szCs w:val="18"/>
              </w:rPr>
              <w:t xml:space="preserve">6.262 </w:t>
            </w:r>
            <w:r w:rsidRPr="009A48D7">
              <w:rPr>
                <w:rFonts w:ascii="Arial" w:hAnsi="Arial" w:cs="Arial"/>
                <w:bCs/>
                <w:sz w:val="18"/>
                <w:szCs w:val="18"/>
              </w:rPr>
              <w:t>of the Lithuanian Civil Code.</w:t>
            </w:r>
          </w:p>
          <w:p w14:paraId="2EF8146A" w14:textId="77777777" w:rsidR="0058506B" w:rsidRPr="009A48D7" w:rsidRDefault="0058506B" w:rsidP="0058506B">
            <w:pPr>
              <w:spacing w:after="0"/>
              <w:rPr>
                <w:rFonts w:ascii="Arial" w:hAnsi="Arial" w:cs="Arial"/>
                <w:bCs/>
                <w:sz w:val="18"/>
                <w:szCs w:val="18"/>
              </w:rPr>
            </w:pPr>
            <w:r w:rsidRPr="009A48D7">
              <w:rPr>
                <w:rFonts w:ascii="Arial" w:hAnsi="Arial" w:cs="Arial"/>
                <w:bCs/>
                <w:sz w:val="18"/>
                <w:szCs w:val="18"/>
              </w:rPr>
              <w:t>Commentary on the Lithuanian Civil Code. Book VI. Law on Obligations (I). Vilnius, Justitia, 2003.</w:t>
            </w:r>
          </w:p>
          <w:p w14:paraId="7E33F04F" w14:textId="77777777" w:rsidR="0058506B" w:rsidRPr="009A48D7" w:rsidRDefault="0058506B" w:rsidP="0058506B">
            <w:pPr>
              <w:spacing w:after="0"/>
              <w:rPr>
                <w:rFonts w:ascii="Arial" w:hAnsi="Arial" w:cs="Arial"/>
                <w:bCs/>
                <w:sz w:val="18"/>
                <w:szCs w:val="18"/>
              </w:rPr>
            </w:pPr>
          </w:p>
          <w:p w14:paraId="299703AE" w14:textId="77777777" w:rsidR="0058506B" w:rsidRPr="009A48D7" w:rsidRDefault="0058506B" w:rsidP="0058506B">
            <w:pPr>
              <w:spacing w:after="0"/>
              <w:rPr>
                <w:rFonts w:ascii="Arial" w:hAnsi="Arial" w:cs="Arial"/>
                <w:bCs/>
                <w:sz w:val="18"/>
                <w:szCs w:val="18"/>
              </w:rPr>
            </w:pPr>
            <w:r w:rsidRPr="0058506B">
              <w:rPr>
                <w:rFonts w:ascii="Arial" w:hAnsi="Arial" w:cs="Arial"/>
                <w:bCs/>
                <w:sz w:val="18"/>
                <w:szCs w:val="18"/>
                <w:u w:val="single"/>
              </w:rPr>
              <w:t>Optional</w:t>
            </w:r>
            <w:r w:rsidRPr="009A48D7">
              <w:rPr>
                <w:rFonts w:ascii="Arial" w:hAnsi="Arial" w:cs="Arial"/>
                <w:bCs/>
                <w:sz w:val="18"/>
                <w:szCs w:val="18"/>
              </w:rPr>
              <w:t xml:space="preserve">: </w:t>
            </w:r>
          </w:p>
          <w:p w14:paraId="3AAC5BB6" w14:textId="0A82D334" w:rsidR="0058506B" w:rsidRPr="00E27ACC" w:rsidRDefault="0058506B" w:rsidP="0058506B">
            <w:pPr>
              <w:spacing w:after="0"/>
              <w:rPr>
                <w:rFonts w:ascii="Arial" w:hAnsi="Arial" w:cs="Arial"/>
                <w:bCs/>
                <w:sz w:val="18"/>
                <w:szCs w:val="18"/>
              </w:rPr>
            </w:pPr>
            <w:r w:rsidRPr="009A48D7">
              <w:rPr>
                <w:rFonts w:ascii="Arial" w:hAnsi="Arial" w:cs="Arial"/>
                <w:bCs/>
                <w:i/>
                <w:iCs/>
                <w:sz w:val="18"/>
                <w:szCs w:val="18"/>
              </w:rPr>
              <w:t>H. Beale, et al</w:t>
            </w:r>
            <w:r w:rsidRPr="009A48D7">
              <w:rPr>
                <w:rFonts w:ascii="Arial" w:hAnsi="Arial" w:cs="Arial"/>
                <w:bCs/>
                <w:sz w:val="18"/>
                <w:szCs w:val="18"/>
              </w:rPr>
              <w:t xml:space="preserve">. Cases, Materials and Text on Contract Law: </w:t>
            </w:r>
            <w:proofErr w:type="spellStart"/>
            <w:r w:rsidRPr="009A48D7">
              <w:rPr>
                <w:rFonts w:ascii="Arial" w:hAnsi="Arial" w:cs="Arial"/>
                <w:bCs/>
                <w:sz w:val="18"/>
                <w:szCs w:val="18"/>
              </w:rPr>
              <w:t>Ius</w:t>
            </w:r>
            <w:proofErr w:type="spellEnd"/>
            <w:r w:rsidRPr="009A48D7">
              <w:rPr>
                <w:rFonts w:ascii="Arial" w:hAnsi="Arial" w:cs="Arial"/>
                <w:bCs/>
                <w:sz w:val="18"/>
                <w:szCs w:val="18"/>
              </w:rPr>
              <w:t xml:space="preserve"> Commune Casebooks for the Common Law of Europe, 2nd Edition. </w:t>
            </w:r>
          </w:p>
        </w:tc>
      </w:tr>
      <w:tr w:rsidR="005F38E9" w:rsidRPr="0073580A" w14:paraId="4F18E7E2" w14:textId="77777777" w:rsidTr="00D426E5">
        <w:trPr>
          <w:trHeight w:val="312"/>
        </w:trPr>
        <w:tc>
          <w:tcPr>
            <w:tcW w:w="1621" w:type="pct"/>
            <w:tcMar>
              <w:top w:w="72" w:type="dxa"/>
              <w:left w:w="115" w:type="dxa"/>
              <w:bottom w:w="72" w:type="dxa"/>
              <w:right w:w="115" w:type="dxa"/>
            </w:tcMar>
            <w:vAlign w:val="center"/>
          </w:tcPr>
          <w:p w14:paraId="5A1DECE2" w14:textId="657B0A93" w:rsidR="00AA3121" w:rsidRPr="00336CAD" w:rsidRDefault="00AA3121" w:rsidP="00AA3121">
            <w:pPr>
              <w:pStyle w:val="ListParagraph"/>
              <w:numPr>
                <w:ilvl w:val="0"/>
                <w:numId w:val="31"/>
              </w:numPr>
              <w:spacing w:after="0"/>
              <w:ind w:left="447" w:hanging="425"/>
              <w:rPr>
                <w:rFonts w:ascii="Arial" w:hAnsi="Arial" w:cs="Arial"/>
                <w:bCs/>
                <w:sz w:val="18"/>
                <w:szCs w:val="18"/>
              </w:rPr>
            </w:pPr>
            <w:r w:rsidRPr="00336CAD">
              <w:rPr>
                <w:rFonts w:ascii="Arial" w:hAnsi="Arial" w:cs="Arial"/>
                <w:b/>
                <w:bCs/>
                <w:sz w:val="18"/>
                <w:szCs w:val="18"/>
                <w:lang w:val="en-GB"/>
              </w:rPr>
              <w:t xml:space="preserve">Commercial </w:t>
            </w:r>
            <w:r w:rsidR="009F71E3">
              <w:rPr>
                <w:rFonts w:ascii="Arial" w:hAnsi="Arial" w:cs="Arial"/>
                <w:b/>
                <w:bCs/>
                <w:sz w:val="18"/>
                <w:szCs w:val="18"/>
                <w:lang w:val="en-GB"/>
              </w:rPr>
              <w:t>c</w:t>
            </w:r>
            <w:r w:rsidRPr="00336CAD">
              <w:rPr>
                <w:rFonts w:ascii="Arial" w:hAnsi="Arial" w:cs="Arial"/>
                <w:b/>
                <w:bCs/>
                <w:sz w:val="18"/>
                <w:szCs w:val="18"/>
                <w:lang w:val="en-GB"/>
              </w:rPr>
              <w:t xml:space="preserve">ontracts. </w:t>
            </w:r>
            <w:r w:rsidRPr="00336CAD">
              <w:rPr>
                <w:rFonts w:ascii="Arial" w:hAnsi="Arial" w:cs="Arial"/>
                <w:sz w:val="18"/>
                <w:szCs w:val="18"/>
                <w:lang w:val="en-GB"/>
              </w:rPr>
              <w:t xml:space="preserve">Sale purchase agreements. Vienna Convention on Contracts for the International Sale of Goods.  INCOTERMS. Business </w:t>
            </w:r>
            <w:r w:rsidR="005F6E02" w:rsidRPr="00336CAD">
              <w:rPr>
                <w:rFonts w:ascii="Arial" w:hAnsi="Arial" w:cs="Arial"/>
                <w:sz w:val="18"/>
                <w:szCs w:val="18"/>
                <w:lang w:val="en-GB"/>
              </w:rPr>
              <w:t>expansion</w:t>
            </w:r>
            <w:r w:rsidRPr="00336CAD">
              <w:rPr>
                <w:rFonts w:ascii="Arial" w:hAnsi="Arial" w:cs="Arial"/>
                <w:sz w:val="18"/>
                <w:szCs w:val="18"/>
                <w:lang w:val="en-GB"/>
              </w:rPr>
              <w:t xml:space="preserve"> abroad (Distribution. Types agency arrangements. </w:t>
            </w:r>
            <w:r w:rsidRPr="00336CAD">
              <w:rPr>
                <w:rFonts w:ascii="Arial" w:hAnsi="Arial" w:cs="Arial"/>
                <w:sz w:val="18"/>
                <w:szCs w:val="18"/>
                <w:lang w:val="pt-BR"/>
              </w:rPr>
              <w:t xml:space="preserve">Franchising).   </w:t>
            </w:r>
            <w:r w:rsidRPr="00336CAD">
              <w:rPr>
                <w:rFonts w:ascii="Arial" w:hAnsi="Arial" w:cs="Arial"/>
                <w:sz w:val="18"/>
                <w:szCs w:val="18"/>
                <w:lang w:val="en-GB"/>
              </w:rPr>
              <w:t xml:space="preserve">Applicable law and international dispute resolution. </w:t>
            </w:r>
          </w:p>
        </w:tc>
        <w:tc>
          <w:tcPr>
            <w:tcW w:w="368" w:type="pct"/>
            <w:tcMar>
              <w:top w:w="72" w:type="dxa"/>
              <w:left w:w="115" w:type="dxa"/>
              <w:bottom w:w="72" w:type="dxa"/>
              <w:right w:w="115" w:type="dxa"/>
            </w:tcMar>
            <w:vAlign w:val="center"/>
          </w:tcPr>
          <w:p w14:paraId="59930926" w14:textId="72713B82" w:rsidR="00AA3121" w:rsidRPr="005F6E02" w:rsidRDefault="00AA3121" w:rsidP="00AA3121">
            <w:pPr>
              <w:spacing w:after="0"/>
              <w:jc w:val="center"/>
              <w:rPr>
                <w:rFonts w:ascii="Arial" w:hAnsi="Arial" w:cs="Arial"/>
                <w:bCs/>
                <w:sz w:val="18"/>
                <w:szCs w:val="18"/>
              </w:rPr>
            </w:pPr>
            <w:r w:rsidRPr="005F6E02">
              <w:rPr>
                <w:rFonts w:ascii="Arial" w:hAnsi="Arial" w:cs="Arial"/>
                <w:bCs/>
                <w:sz w:val="18"/>
                <w:szCs w:val="18"/>
              </w:rPr>
              <w:t>4</w:t>
            </w:r>
          </w:p>
        </w:tc>
        <w:tc>
          <w:tcPr>
            <w:tcW w:w="756" w:type="pct"/>
            <w:vAlign w:val="center"/>
          </w:tcPr>
          <w:p w14:paraId="4079869D" w14:textId="3F80083C" w:rsidR="00AA3121" w:rsidRPr="005F6E02" w:rsidRDefault="00AA3121" w:rsidP="00AA3121">
            <w:pPr>
              <w:spacing w:after="0"/>
              <w:rPr>
                <w:rFonts w:ascii="Arial" w:hAnsi="Arial" w:cs="Arial"/>
                <w:bCs/>
                <w:sz w:val="18"/>
                <w:szCs w:val="18"/>
                <w:lang w:val="lt-LT"/>
              </w:rPr>
            </w:pPr>
            <w:r w:rsidRPr="005F6E02">
              <w:rPr>
                <w:rFonts w:ascii="Arial" w:hAnsi="Arial" w:cs="Arial"/>
                <w:bCs/>
                <w:sz w:val="18"/>
                <w:szCs w:val="18"/>
              </w:rPr>
              <w:t xml:space="preserve">Vaidotas </w:t>
            </w:r>
            <w:proofErr w:type="spellStart"/>
            <w:r w:rsidRPr="005F6E02">
              <w:rPr>
                <w:rFonts w:ascii="Arial" w:hAnsi="Arial" w:cs="Arial"/>
                <w:bCs/>
                <w:sz w:val="18"/>
                <w:szCs w:val="18"/>
              </w:rPr>
              <w:t>Puklevi</w:t>
            </w:r>
            <w:r w:rsidRPr="005F6E02">
              <w:rPr>
                <w:rFonts w:ascii="Arial" w:hAnsi="Arial" w:cs="Arial"/>
                <w:bCs/>
                <w:sz w:val="18"/>
                <w:szCs w:val="18"/>
                <w:lang w:val="lt-LT"/>
              </w:rPr>
              <w:t>čius</w:t>
            </w:r>
            <w:proofErr w:type="spellEnd"/>
          </w:p>
        </w:tc>
        <w:tc>
          <w:tcPr>
            <w:tcW w:w="2255" w:type="pct"/>
            <w:tcMar>
              <w:top w:w="72" w:type="dxa"/>
              <w:left w:w="115" w:type="dxa"/>
              <w:bottom w:w="72" w:type="dxa"/>
              <w:right w:w="115" w:type="dxa"/>
            </w:tcMar>
            <w:vAlign w:val="center"/>
          </w:tcPr>
          <w:p w14:paraId="560ABF95" w14:textId="75649F47" w:rsidR="005F6E02" w:rsidRDefault="00AA3121" w:rsidP="00AA3121">
            <w:pPr>
              <w:spacing w:after="0"/>
              <w:rPr>
                <w:rFonts w:ascii="Arial" w:hAnsi="Arial" w:cs="Arial"/>
                <w:bCs/>
                <w:sz w:val="18"/>
                <w:szCs w:val="18"/>
              </w:rPr>
            </w:pPr>
            <w:r w:rsidRPr="005F6E02">
              <w:rPr>
                <w:rFonts w:ascii="Arial" w:hAnsi="Arial" w:cs="Arial"/>
                <w:bCs/>
                <w:sz w:val="18"/>
                <w:szCs w:val="18"/>
              </w:rPr>
              <w:t>IV Part of the Lithuanian Civil Code</w:t>
            </w:r>
          </w:p>
          <w:p w14:paraId="78D2EE9D" w14:textId="4D23A55A" w:rsidR="00AA3121" w:rsidRPr="0073580A" w:rsidRDefault="00AA3121" w:rsidP="00AA3121">
            <w:pPr>
              <w:spacing w:after="0"/>
              <w:rPr>
                <w:rFonts w:ascii="Arial" w:hAnsi="Arial" w:cs="Arial"/>
                <w:bCs/>
                <w:sz w:val="18"/>
                <w:szCs w:val="18"/>
              </w:rPr>
            </w:pPr>
            <w:proofErr w:type="spellStart"/>
            <w:r w:rsidRPr="005F6E02">
              <w:rPr>
                <w:rFonts w:ascii="Arial" w:hAnsi="Arial" w:cs="Arial"/>
                <w:bCs/>
                <w:sz w:val="18"/>
                <w:szCs w:val="18"/>
              </w:rPr>
              <w:t>Schmitthoff’s</w:t>
            </w:r>
            <w:proofErr w:type="spellEnd"/>
            <w:r w:rsidRPr="005F6E02">
              <w:rPr>
                <w:rFonts w:ascii="Arial" w:hAnsi="Arial" w:cs="Arial"/>
                <w:bCs/>
                <w:sz w:val="18"/>
                <w:szCs w:val="18"/>
              </w:rPr>
              <w:t xml:space="preserve"> Export Trade. The law and practice of international trade.</w:t>
            </w:r>
            <w:r>
              <w:rPr>
                <w:rFonts w:ascii="Arial" w:hAnsi="Arial" w:cs="Arial"/>
                <w:bCs/>
                <w:sz w:val="18"/>
                <w:szCs w:val="18"/>
              </w:rPr>
              <w:t xml:space="preserve"> </w:t>
            </w:r>
          </w:p>
        </w:tc>
      </w:tr>
      <w:tr w:rsidR="005F38E9" w:rsidRPr="0073580A" w14:paraId="6A68ECFE" w14:textId="77777777" w:rsidTr="00D426E5">
        <w:trPr>
          <w:trHeight w:val="312"/>
        </w:trPr>
        <w:tc>
          <w:tcPr>
            <w:tcW w:w="1621" w:type="pct"/>
            <w:tcMar>
              <w:top w:w="72" w:type="dxa"/>
              <w:left w:w="115" w:type="dxa"/>
              <w:bottom w:w="72" w:type="dxa"/>
              <w:right w:w="115" w:type="dxa"/>
            </w:tcMar>
            <w:vAlign w:val="center"/>
          </w:tcPr>
          <w:p w14:paraId="408E47AC" w14:textId="3204F17B" w:rsidR="00E02DA5" w:rsidRPr="00336CAD" w:rsidRDefault="00336CAD" w:rsidP="00C72F62">
            <w:pPr>
              <w:pStyle w:val="ListParagraph"/>
              <w:numPr>
                <w:ilvl w:val="0"/>
                <w:numId w:val="31"/>
              </w:numPr>
              <w:spacing w:after="0"/>
              <w:ind w:left="447" w:hanging="425"/>
              <w:rPr>
                <w:rFonts w:ascii="Arial" w:hAnsi="Arial" w:cs="Arial"/>
                <w:bCs/>
                <w:sz w:val="18"/>
                <w:szCs w:val="18"/>
                <w:lang w:val="en-GB"/>
              </w:rPr>
            </w:pPr>
            <w:r w:rsidRPr="00336CAD">
              <w:rPr>
                <w:rFonts w:ascii="Arial" w:hAnsi="Arial" w:cs="Arial"/>
                <w:b/>
                <w:bCs/>
                <w:sz w:val="18"/>
                <w:szCs w:val="18"/>
                <w:lang w:val="en-GB"/>
              </w:rPr>
              <w:t>Privacy, consumer protection and general compliance.</w:t>
            </w:r>
            <w:r>
              <w:rPr>
                <w:rFonts w:ascii="Arial" w:hAnsi="Arial" w:cs="Arial"/>
                <w:sz w:val="18"/>
                <w:szCs w:val="18"/>
                <w:lang w:val="en-GB"/>
              </w:rPr>
              <w:t xml:space="preserve"> General Data Protection regulation. Main principles of data protection. Data breach and cyber security incidents. Consumer protection. </w:t>
            </w:r>
            <w:r w:rsidR="00A27500">
              <w:rPr>
                <w:rFonts w:ascii="Arial" w:hAnsi="Arial" w:cs="Arial"/>
                <w:sz w:val="18"/>
                <w:szCs w:val="18"/>
                <w:lang w:val="en-GB"/>
              </w:rPr>
              <w:t xml:space="preserve">Marketing. </w:t>
            </w:r>
            <w:r>
              <w:rPr>
                <w:rFonts w:ascii="Arial" w:hAnsi="Arial" w:cs="Arial"/>
                <w:sz w:val="18"/>
                <w:szCs w:val="18"/>
                <w:lang w:val="en-GB"/>
              </w:rPr>
              <w:t>Main advertising rules. Supervisory authorities.</w:t>
            </w:r>
            <w:r w:rsidRPr="00336CAD">
              <w:rPr>
                <w:rFonts w:ascii="Arial" w:hAnsi="Arial" w:cs="Arial"/>
                <w:b/>
                <w:bCs/>
                <w:sz w:val="18"/>
                <w:szCs w:val="18"/>
                <w:lang w:val="en-GB"/>
              </w:rPr>
              <w:t xml:space="preserve"> </w:t>
            </w:r>
          </w:p>
        </w:tc>
        <w:tc>
          <w:tcPr>
            <w:tcW w:w="368" w:type="pct"/>
            <w:tcMar>
              <w:top w:w="72" w:type="dxa"/>
              <w:left w:w="115" w:type="dxa"/>
              <w:bottom w:w="72" w:type="dxa"/>
              <w:right w:w="115" w:type="dxa"/>
            </w:tcMar>
            <w:vAlign w:val="center"/>
          </w:tcPr>
          <w:p w14:paraId="654774BD" w14:textId="6DC0EA7E" w:rsidR="00E02DA5" w:rsidRPr="0073580A" w:rsidRDefault="00E02DA5" w:rsidP="004A749D">
            <w:pPr>
              <w:spacing w:after="0"/>
              <w:jc w:val="center"/>
              <w:rPr>
                <w:rFonts w:ascii="Arial" w:hAnsi="Arial" w:cs="Arial"/>
                <w:bCs/>
                <w:sz w:val="18"/>
                <w:szCs w:val="18"/>
              </w:rPr>
            </w:pPr>
            <w:r>
              <w:rPr>
                <w:rFonts w:ascii="Arial" w:hAnsi="Arial" w:cs="Arial"/>
                <w:bCs/>
                <w:sz w:val="18"/>
                <w:szCs w:val="18"/>
                <w:lang w:val="en-GB"/>
              </w:rPr>
              <w:t>4</w:t>
            </w:r>
          </w:p>
        </w:tc>
        <w:tc>
          <w:tcPr>
            <w:tcW w:w="756" w:type="pct"/>
            <w:vAlign w:val="center"/>
          </w:tcPr>
          <w:p w14:paraId="2E4B4111" w14:textId="701BC55C" w:rsidR="00E02DA5" w:rsidRDefault="00C72F62" w:rsidP="00C72F62">
            <w:pPr>
              <w:spacing w:after="0"/>
              <w:rPr>
                <w:rFonts w:ascii="Arial" w:hAnsi="Arial" w:cs="Arial"/>
                <w:bCs/>
                <w:sz w:val="18"/>
                <w:szCs w:val="18"/>
              </w:rPr>
            </w:pPr>
            <w:r>
              <w:rPr>
                <w:rFonts w:ascii="Arial" w:hAnsi="Arial" w:cs="Arial"/>
                <w:bCs/>
                <w:sz w:val="18"/>
                <w:szCs w:val="18"/>
              </w:rPr>
              <w:t>Guoda Šileikytė</w:t>
            </w:r>
          </w:p>
        </w:tc>
        <w:tc>
          <w:tcPr>
            <w:tcW w:w="2255" w:type="pct"/>
            <w:tcMar>
              <w:top w:w="72" w:type="dxa"/>
              <w:left w:w="115" w:type="dxa"/>
              <w:bottom w:w="72" w:type="dxa"/>
              <w:right w:w="115" w:type="dxa"/>
            </w:tcMar>
            <w:vAlign w:val="center"/>
          </w:tcPr>
          <w:p w14:paraId="79C73705" w14:textId="0BA2AC97" w:rsidR="00E02DA5" w:rsidRDefault="00336CAD" w:rsidP="004A749D">
            <w:pPr>
              <w:spacing w:after="0"/>
              <w:rPr>
                <w:rFonts w:ascii="Arial" w:hAnsi="Arial" w:cs="Arial"/>
                <w:bCs/>
                <w:sz w:val="18"/>
                <w:szCs w:val="18"/>
              </w:rPr>
            </w:pPr>
            <w:r>
              <w:rPr>
                <w:rFonts w:ascii="Arial" w:hAnsi="Arial" w:cs="Arial"/>
                <w:bCs/>
                <w:sz w:val="18"/>
                <w:szCs w:val="18"/>
              </w:rPr>
              <w:t>Articles 1-14 of the General Data Protection Regulation</w:t>
            </w:r>
          </w:p>
          <w:p w14:paraId="7AC3C59D" w14:textId="77777777" w:rsidR="005C3585" w:rsidRDefault="005C3585" w:rsidP="004A749D">
            <w:pPr>
              <w:spacing w:after="0"/>
              <w:rPr>
                <w:rFonts w:ascii="Arial" w:hAnsi="Arial" w:cs="Arial"/>
                <w:bCs/>
                <w:sz w:val="18"/>
                <w:szCs w:val="18"/>
              </w:rPr>
            </w:pPr>
          </w:p>
          <w:p w14:paraId="6A968D70" w14:textId="3385681E" w:rsidR="00336CAD" w:rsidRDefault="00336CAD" w:rsidP="004A749D">
            <w:pPr>
              <w:spacing w:after="0"/>
              <w:rPr>
                <w:rFonts w:ascii="Arial" w:hAnsi="Arial" w:cs="Arial"/>
                <w:bCs/>
                <w:sz w:val="18"/>
                <w:szCs w:val="18"/>
              </w:rPr>
            </w:pPr>
            <w:r w:rsidRPr="0058506B">
              <w:rPr>
                <w:rFonts w:ascii="Arial" w:hAnsi="Arial" w:cs="Arial"/>
                <w:bCs/>
                <w:sz w:val="18"/>
                <w:szCs w:val="18"/>
                <w:u w:val="single"/>
              </w:rPr>
              <w:t>Optional</w:t>
            </w:r>
            <w:r>
              <w:rPr>
                <w:rFonts w:ascii="Arial" w:hAnsi="Arial" w:cs="Arial"/>
                <w:bCs/>
                <w:sz w:val="18"/>
                <w:szCs w:val="18"/>
              </w:rPr>
              <w:t xml:space="preserve">: </w:t>
            </w:r>
          </w:p>
          <w:p w14:paraId="2CEC08C7" w14:textId="33CF5067" w:rsidR="00A27500" w:rsidRPr="00A27500" w:rsidRDefault="00A27500" w:rsidP="004A749D">
            <w:pPr>
              <w:spacing w:after="0"/>
              <w:rPr>
                <w:rFonts w:ascii="Arial" w:hAnsi="Arial" w:cs="Arial"/>
                <w:bCs/>
                <w:i/>
                <w:iCs/>
                <w:sz w:val="18"/>
                <w:szCs w:val="18"/>
              </w:rPr>
            </w:pPr>
            <w:r w:rsidRPr="00A27500">
              <w:rPr>
                <w:rFonts w:ascii="Arial" w:hAnsi="Arial" w:cs="Arial"/>
                <w:bCs/>
                <w:i/>
                <w:iCs/>
                <w:sz w:val="18"/>
                <w:szCs w:val="18"/>
              </w:rPr>
              <w:t>Christopher Kuner</w:t>
            </w:r>
            <w:r>
              <w:rPr>
                <w:rFonts w:ascii="Arial" w:hAnsi="Arial" w:cs="Arial"/>
                <w:bCs/>
                <w:i/>
                <w:iCs/>
                <w:sz w:val="18"/>
                <w:szCs w:val="18"/>
              </w:rPr>
              <w:t xml:space="preserve"> et al. </w:t>
            </w:r>
            <w:r w:rsidRPr="00A27500">
              <w:rPr>
                <w:rFonts w:ascii="Arial" w:hAnsi="Arial" w:cs="Arial"/>
                <w:bCs/>
                <w:sz w:val="18"/>
                <w:szCs w:val="18"/>
              </w:rPr>
              <w:t>The EU General Data Protection Regulation (GDPR): A Commentary</w:t>
            </w:r>
            <w:r>
              <w:rPr>
                <w:rFonts w:ascii="Arial" w:hAnsi="Arial" w:cs="Arial"/>
                <w:bCs/>
                <w:sz w:val="18"/>
                <w:szCs w:val="18"/>
              </w:rPr>
              <w:t>.</w:t>
            </w:r>
          </w:p>
          <w:p w14:paraId="6751E978" w14:textId="57FF47E4" w:rsidR="00A27500" w:rsidRDefault="00A27500" w:rsidP="004A749D">
            <w:pPr>
              <w:spacing w:after="0"/>
              <w:rPr>
                <w:rFonts w:ascii="Arial" w:hAnsi="Arial" w:cs="Arial"/>
                <w:bCs/>
                <w:sz w:val="18"/>
                <w:szCs w:val="18"/>
              </w:rPr>
            </w:pPr>
            <w:r>
              <w:rPr>
                <w:rFonts w:ascii="Arial" w:hAnsi="Arial" w:cs="Arial"/>
                <w:bCs/>
                <w:sz w:val="18"/>
                <w:szCs w:val="18"/>
              </w:rPr>
              <w:t xml:space="preserve">EDPB </w:t>
            </w:r>
            <w:r w:rsidRPr="00A27500">
              <w:rPr>
                <w:rFonts w:ascii="Arial" w:hAnsi="Arial" w:cs="Arial"/>
                <w:bCs/>
                <w:sz w:val="18"/>
                <w:szCs w:val="18"/>
              </w:rPr>
              <w:t>Guidelines 07/2020 on the concepts of controller and processor in the GDPR</w:t>
            </w:r>
          </w:p>
          <w:p w14:paraId="015664E2" w14:textId="57ED2D9B" w:rsidR="00A27500" w:rsidRPr="005F38E9" w:rsidRDefault="00A27500" w:rsidP="004A749D">
            <w:pPr>
              <w:spacing w:after="0"/>
              <w:rPr>
                <w:rFonts w:ascii="Arial" w:hAnsi="Arial" w:cs="Arial"/>
                <w:b/>
                <w:sz w:val="18"/>
                <w:szCs w:val="18"/>
              </w:rPr>
            </w:pPr>
            <w:r>
              <w:rPr>
                <w:rFonts w:ascii="Arial" w:hAnsi="Arial" w:cs="Arial"/>
                <w:bCs/>
                <w:sz w:val="18"/>
                <w:szCs w:val="18"/>
              </w:rPr>
              <w:t xml:space="preserve">EDPB </w:t>
            </w:r>
            <w:r w:rsidRPr="00A27500">
              <w:rPr>
                <w:rFonts w:ascii="Arial" w:hAnsi="Arial" w:cs="Arial"/>
                <w:bCs/>
                <w:sz w:val="18"/>
                <w:szCs w:val="18"/>
              </w:rPr>
              <w:t>Guidelines 05/2020 on consent under Regulation 2016/679</w:t>
            </w:r>
          </w:p>
        </w:tc>
      </w:tr>
      <w:tr w:rsidR="005F38E9" w:rsidRPr="00A27500" w14:paraId="0FA4BA73" w14:textId="77777777" w:rsidTr="00D426E5">
        <w:trPr>
          <w:trHeight w:val="312"/>
        </w:trPr>
        <w:tc>
          <w:tcPr>
            <w:tcW w:w="1621" w:type="pct"/>
            <w:shd w:val="clear" w:color="auto" w:fill="auto"/>
            <w:tcMar>
              <w:top w:w="72" w:type="dxa"/>
              <w:left w:w="115" w:type="dxa"/>
              <w:bottom w:w="72" w:type="dxa"/>
              <w:right w:w="115" w:type="dxa"/>
            </w:tcMar>
            <w:vAlign w:val="center"/>
          </w:tcPr>
          <w:p w14:paraId="265610B8" w14:textId="02B0BAC7" w:rsidR="00C72F62" w:rsidRPr="009F71E3" w:rsidRDefault="006B41D0" w:rsidP="00C72F62">
            <w:pPr>
              <w:pStyle w:val="ListParagraph"/>
              <w:numPr>
                <w:ilvl w:val="0"/>
                <w:numId w:val="31"/>
              </w:numPr>
              <w:spacing w:after="0"/>
              <w:ind w:left="447" w:hanging="425"/>
              <w:rPr>
                <w:rFonts w:ascii="Arial" w:hAnsi="Arial" w:cs="Arial"/>
                <w:bCs/>
                <w:sz w:val="18"/>
                <w:szCs w:val="18"/>
                <w:u w:val="single"/>
                <w:lang w:val="en-GB"/>
              </w:rPr>
            </w:pPr>
            <w:r w:rsidRPr="009F71E3">
              <w:rPr>
                <w:rFonts w:ascii="Arial" w:hAnsi="Arial" w:cs="Arial"/>
                <w:b/>
                <w:bCs/>
                <w:sz w:val="18"/>
                <w:szCs w:val="18"/>
                <w:lang w:val="en-GB"/>
              </w:rPr>
              <w:t xml:space="preserve">Intellectual Property. </w:t>
            </w:r>
            <w:r w:rsidRPr="009F71E3">
              <w:rPr>
                <w:rFonts w:ascii="Arial" w:hAnsi="Arial" w:cs="Arial"/>
                <w:sz w:val="18"/>
                <w:szCs w:val="18"/>
                <w:lang w:val="en-GB"/>
              </w:rPr>
              <w:t xml:space="preserve">Trademarks. Copyright (author </w:t>
            </w:r>
            <w:r w:rsidRPr="009F71E3">
              <w:rPr>
                <w:rFonts w:ascii="Arial" w:hAnsi="Arial" w:cs="Arial"/>
                <w:sz w:val="18"/>
                <w:szCs w:val="18"/>
                <w:lang w:val="en-GB"/>
              </w:rPr>
              <w:lastRenderedPageBreak/>
              <w:t xml:space="preserve">property and non-property rights). Websites. Patents. </w:t>
            </w:r>
            <w:r w:rsidR="005C3585" w:rsidRPr="005C3585">
              <w:rPr>
                <w:rFonts w:ascii="Arial" w:hAnsi="Arial" w:cs="Arial"/>
                <w:sz w:val="18"/>
                <w:szCs w:val="18"/>
                <w:lang w:val="en-GB"/>
              </w:rPr>
              <w:t>Geographical indications</w:t>
            </w:r>
            <w:r w:rsidR="005C3585">
              <w:rPr>
                <w:rFonts w:ascii="Arial" w:hAnsi="Arial" w:cs="Arial"/>
                <w:sz w:val="18"/>
                <w:szCs w:val="18"/>
                <w:lang w:val="en-GB"/>
              </w:rPr>
              <w:t xml:space="preserve">. </w:t>
            </w:r>
            <w:r w:rsidR="00A27500" w:rsidRPr="009F71E3">
              <w:rPr>
                <w:rFonts w:ascii="Arial" w:hAnsi="Arial" w:cs="Arial"/>
                <w:sz w:val="18"/>
                <w:szCs w:val="18"/>
                <w:lang w:val="en-GB"/>
              </w:rPr>
              <w:t xml:space="preserve">Know-how. </w:t>
            </w:r>
            <w:r w:rsidR="005C3585">
              <w:rPr>
                <w:rFonts w:ascii="Arial" w:hAnsi="Arial" w:cs="Arial"/>
                <w:sz w:val="18"/>
                <w:szCs w:val="18"/>
                <w:lang w:val="en-GB"/>
              </w:rPr>
              <w:t xml:space="preserve">Confidential information. </w:t>
            </w:r>
            <w:r w:rsidRPr="009F71E3">
              <w:rPr>
                <w:rFonts w:ascii="Arial" w:hAnsi="Arial" w:cs="Arial"/>
                <w:sz w:val="18"/>
                <w:szCs w:val="18"/>
                <w:lang w:val="en-GB"/>
              </w:rPr>
              <w:t>Registration and protection of IP.</w:t>
            </w:r>
            <w:r w:rsidR="00A27500" w:rsidRPr="009F71E3">
              <w:rPr>
                <w:rFonts w:ascii="Arial" w:hAnsi="Arial" w:cs="Arial"/>
                <w:sz w:val="18"/>
                <w:szCs w:val="18"/>
                <w:lang w:val="en-GB"/>
              </w:rPr>
              <w:t xml:space="preserve"> Licensing agreements.</w:t>
            </w:r>
          </w:p>
        </w:tc>
        <w:tc>
          <w:tcPr>
            <w:tcW w:w="368" w:type="pct"/>
            <w:shd w:val="clear" w:color="auto" w:fill="auto"/>
            <w:tcMar>
              <w:top w:w="72" w:type="dxa"/>
              <w:left w:w="115" w:type="dxa"/>
              <w:bottom w:w="72" w:type="dxa"/>
              <w:right w:w="115" w:type="dxa"/>
            </w:tcMar>
            <w:vAlign w:val="center"/>
          </w:tcPr>
          <w:p w14:paraId="091EDB55" w14:textId="33563151" w:rsidR="00C72F62" w:rsidRPr="009F71E3" w:rsidRDefault="00C72F62" w:rsidP="00C72F62">
            <w:pPr>
              <w:spacing w:after="0"/>
              <w:jc w:val="center"/>
              <w:rPr>
                <w:rFonts w:ascii="Arial" w:hAnsi="Arial" w:cs="Arial"/>
                <w:bCs/>
                <w:sz w:val="18"/>
                <w:szCs w:val="18"/>
              </w:rPr>
            </w:pPr>
            <w:r w:rsidRPr="009F71E3">
              <w:rPr>
                <w:rFonts w:ascii="Arial" w:hAnsi="Arial" w:cs="Arial"/>
                <w:bCs/>
                <w:sz w:val="18"/>
                <w:szCs w:val="18"/>
              </w:rPr>
              <w:lastRenderedPageBreak/>
              <w:t>4</w:t>
            </w:r>
          </w:p>
        </w:tc>
        <w:tc>
          <w:tcPr>
            <w:tcW w:w="756" w:type="pct"/>
            <w:shd w:val="clear" w:color="auto" w:fill="auto"/>
            <w:vAlign w:val="center"/>
          </w:tcPr>
          <w:p w14:paraId="1DD71968" w14:textId="367855D5" w:rsidR="00C72F62" w:rsidRPr="009F71E3" w:rsidRDefault="005F6E02" w:rsidP="00C72F62">
            <w:pPr>
              <w:spacing w:after="0"/>
              <w:rPr>
                <w:rFonts w:ascii="Arial" w:hAnsi="Arial" w:cs="Arial"/>
                <w:bCs/>
                <w:sz w:val="18"/>
                <w:szCs w:val="18"/>
              </w:rPr>
            </w:pPr>
            <w:r w:rsidRPr="009F71E3">
              <w:rPr>
                <w:rFonts w:ascii="Arial" w:hAnsi="Arial" w:cs="Arial"/>
                <w:bCs/>
                <w:sz w:val="18"/>
                <w:szCs w:val="18"/>
              </w:rPr>
              <w:t>Guoda Šileikytė</w:t>
            </w:r>
          </w:p>
        </w:tc>
        <w:tc>
          <w:tcPr>
            <w:tcW w:w="2255" w:type="pct"/>
            <w:shd w:val="clear" w:color="auto" w:fill="auto"/>
            <w:tcMar>
              <w:top w:w="72" w:type="dxa"/>
              <w:left w:w="115" w:type="dxa"/>
              <w:bottom w:w="72" w:type="dxa"/>
              <w:right w:w="115" w:type="dxa"/>
            </w:tcMar>
            <w:vAlign w:val="center"/>
          </w:tcPr>
          <w:p w14:paraId="4355580A" w14:textId="4181ACA9" w:rsidR="00C72F62" w:rsidRDefault="005C3585" w:rsidP="005C3585">
            <w:pPr>
              <w:spacing w:after="0"/>
              <w:rPr>
                <w:rFonts w:ascii="Arial" w:hAnsi="Arial" w:cs="Arial"/>
                <w:bCs/>
                <w:sz w:val="18"/>
                <w:szCs w:val="18"/>
              </w:rPr>
            </w:pPr>
            <w:r>
              <w:rPr>
                <w:rFonts w:ascii="Arial" w:hAnsi="Arial" w:cs="Arial"/>
                <w:bCs/>
                <w:sz w:val="18"/>
                <w:szCs w:val="18"/>
              </w:rPr>
              <w:t xml:space="preserve">WIPO: </w:t>
            </w:r>
            <w:r w:rsidRPr="005C3585">
              <w:rPr>
                <w:rFonts w:ascii="Arial" w:hAnsi="Arial" w:cs="Arial"/>
                <w:bCs/>
                <w:sz w:val="18"/>
                <w:szCs w:val="18"/>
              </w:rPr>
              <w:t>Frequently Asked Questions: Copyright</w:t>
            </w:r>
            <w:r>
              <w:rPr>
                <w:rFonts w:ascii="Arial" w:hAnsi="Arial" w:cs="Arial"/>
                <w:bCs/>
                <w:sz w:val="18"/>
                <w:szCs w:val="18"/>
              </w:rPr>
              <w:t xml:space="preserve"> (</w:t>
            </w:r>
            <w:hyperlink r:id="rId8" w:history="1">
              <w:r w:rsidRPr="000C4150">
                <w:rPr>
                  <w:rStyle w:val="Hyperlink"/>
                  <w:rFonts w:ascii="Arial" w:hAnsi="Arial" w:cs="Arial"/>
                  <w:bCs/>
                  <w:sz w:val="18"/>
                  <w:szCs w:val="18"/>
                </w:rPr>
                <w:t>https://www.wipo.int/copyright/en/faq_copyright.html</w:t>
              </w:r>
            </w:hyperlink>
            <w:r>
              <w:rPr>
                <w:rFonts w:ascii="Arial" w:hAnsi="Arial" w:cs="Arial"/>
                <w:bCs/>
                <w:sz w:val="18"/>
                <w:szCs w:val="18"/>
              </w:rPr>
              <w:t>)</w:t>
            </w:r>
          </w:p>
          <w:p w14:paraId="54B2917D" w14:textId="77777777" w:rsidR="005C3585" w:rsidRDefault="005C3585" w:rsidP="005C3585">
            <w:pPr>
              <w:spacing w:after="0"/>
              <w:rPr>
                <w:rFonts w:ascii="Arial" w:hAnsi="Arial" w:cs="Arial"/>
                <w:bCs/>
                <w:sz w:val="18"/>
                <w:szCs w:val="18"/>
              </w:rPr>
            </w:pPr>
          </w:p>
          <w:p w14:paraId="36849AE2" w14:textId="0063255E" w:rsidR="005C3585" w:rsidRDefault="005C3585" w:rsidP="005C3585">
            <w:pPr>
              <w:spacing w:after="0"/>
              <w:rPr>
                <w:rFonts w:ascii="Arial" w:hAnsi="Arial" w:cs="Arial"/>
                <w:bCs/>
                <w:sz w:val="18"/>
                <w:szCs w:val="18"/>
              </w:rPr>
            </w:pPr>
            <w:r w:rsidRPr="0058506B">
              <w:rPr>
                <w:rFonts w:ascii="Arial" w:hAnsi="Arial" w:cs="Arial"/>
                <w:bCs/>
                <w:sz w:val="18"/>
                <w:szCs w:val="18"/>
                <w:u w:val="single"/>
              </w:rPr>
              <w:t>Optional</w:t>
            </w:r>
            <w:r>
              <w:rPr>
                <w:rFonts w:ascii="Arial" w:hAnsi="Arial" w:cs="Arial"/>
                <w:bCs/>
                <w:sz w:val="18"/>
                <w:szCs w:val="18"/>
              </w:rPr>
              <w:t>:</w:t>
            </w:r>
          </w:p>
          <w:p w14:paraId="40142FAE" w14:textId="439F7E0B" w:rsidR="00D57AA9" w:rsidRDefault="00D57AA9" w:rsidP="00D57AA9">
            <w:pPr>
              <w:spacing w:after="0"/>
              <w:rPr>
                <w:rFonts w:ascii="Arial" w:hAnsi="Arial" w:cs="Arial"/>
                <w:bCs/>
                <w:sz w:val="18"/>
                <w:szCs w:val="18"/>
              </w:rPr>
            </w:pPr>
            <w:r>
              <w:rPr>
                <w:rFonts w:ascii="Arial" w:hAnsi="Arial" w:cs="Arial"/>
                <w:bCs/>
                <w:sz w:val="18"/>
                <w:szCs w:val="18"/>
              </w:rPr>
              <w:t xml:space="preserve">CJEU cases: </w:t>
            </w:r>
          </w:p>
          <w:p w14:paraId="769D2B56" w14:textId="7D0D88AC" w:rsidR="00D57AA9" w:rsidRDefault="00D57AA9" w:rsidP="00D57AA9">
            <w:pPr>
              <w:spacing w:after="0"/>
              <w:rPr>
                <w:rFonts w:ascii="Arial" w:hAnsi="Arial" w:cs="Arial"/>
                <w:bCs/>
                <w:sz w:val="18"/>
                <w:szCs w:val="18"/>
              </w:rPr>
            </w:pPr>
            <w:r w:rsidRPr="00D57AA9">
              <w:rPr>
                <w:rFonts w:ascii="Arial" w:hAnsi="Arial" w:cs="Arial"/>
                <w:bCs/>
                <w:sz w:val="18"/>
                <w:szCs w:val="18"/>
              </w:rPr>
              <w:t>28 October 2021</w:t>
            </w:r>
            <w:r>
              <w:rPr>
                <w:rFonts w:ascii="Arial" w:hAnsi="Arial" w:cs="Arial"/>
                <w:bCs/>
                <w:sz w:val="18"/>
                <w:szCs w:val="18"/>
              </w:rPr>
              <w:t xml:space="preserve">, </w:t>
            </w:r>
            <w:r w:rsidRPr="00D57AA9">
              <w:rPr>
                <w:rFonts w:ascii="Arial" w:hAnsi="Arial" w:cs="Arial"/>
                <w:bCs/>
                <w:sz w:val="18"/>
                <w:szCs w:val="18"/>
              </w:rPr>
              <w:t xml:space="preserve">Ferrari </w:t>
            </w:r>
            <w:proofErr w:type="spellStart"/>
            <w:r w:rsidRPr="00D57AA9">
              <w:rPr>
                <w:rFonts w:ascii="Arial" w:hAnsi="Arial" w:cs="Arial"/>
                <w:bCs/>
                <w:sz w:val="18"/>
                <w:szCs w:val="18"/>
              </w:rPr>
              <w:t>SpA</w:t>
            </w:r>
            <w:proofErr w:type="spellEnd"/>
            <w:r w:rsidRPr="00D57AA9">
              <w:rPr>
                <w:rFonts w:ascii="Arial" w:hAnsi="Arial" w:cs="Arial"/>
                <w:bCs/>
                <w:sz w:val="18"/>
                <w:szCs w:val="18"/>
              </w:rPr>
              <w:t xml:space="preserve"> v Mansory Design &amp; Holding GmbH and WH</w:t>
            </w:r>
            <w:r>
              <w:rPr>
                <w:rFonts w:ascii="Arial" w:hAnsi="Arial" w:cs="Arial"/>
                <w:bCs/>
                <w:sz w:val="18"/>
                <w:szCs w:val="18"/>
              </w:rPr>
              <w:t xml:space="preserve"> (Case </w:t>
            </w:r>
            <w:r w:rsidRPr="00D57AA9">
              <w:rPr>
                <w:rFonts w:ascii="Arial" w:hAnsi="Arial" w:cs="Arial"/>
                <w:bCs/>
                <w:sz w:val="18"/>
                <w:szCs w:val="18"/>
              </w:rPr>
              <w:t>C</w:t>
            </w:r>
            <w:r w:rsidRPr="00D57AA9">
              <w:rPr>
                <w:rFonts w:ascii="Cambria Math" w:hAnsi="Cambria Math" w:cs="Cambria Math"/>
                <w:bCs/>
                <w:sz w:val="18"/>
                <w:szCs w:val="18"/>
              </w:rPr>
              <w:t>‑</w:t>
            </w:r>
            <w:r w:rsidRPr="00D57AA9">
              <w:rPr>
                <w:rFonts w:ascii="Arial" w:hAnsi="Arial" w:cs="Arial"/>
                <w:bCs/>
                <w:sz w:val="18"/>
                <w:szCs w:val="18"/>
              </w:rPr>
              <w:t>123/20</w:t>
            </w:r>
            <w:r>
              <w:rPr>
                <w:rFonts w:ascii="Arial" w:hAnsi="Arial" w:cs="Arial"/>
                <w:bCs/>
                <w:sz w:val="18"/>
                <w:szCs w:val="18"/>
              </w:rPr>
              <w:t xml:space="preserve"> – Ferrari)</w:t>
            </w:r>
          </w:p>
          <w:p w14:paraId="7FD0FDC7" w14:textId="741DA722" w:rsidR="005C3585" w:rsidRPr="00A27500" w:rsidRDefault="00D57AA9" w:rsidP="005C3585">
            <w:pPr>
              <w:spacing w:after="0"/>
              <w:rPr>
                <w:rFonts w:ascii="Arial" w:hAnsi="Arial" w:cs="Arial"/>
                <w:bCs/>
                <w:sz w:val="18"/>
                <w:szCs w:val="18"/>
              </w:rPr>
            </w:pPr>
            <w:r>
              <w:rPr>
                <w:rFonts w:ascii="Arial" w:hAnsi="Arial" w:cs="Arial"/>
                <w:bCs/>
                <w:sz w:val="18"/>
                <w:szCs w:val="18"/>
              </w:rPr>
              <w:t xml:space="preserve">22 June 2021, </w:t>
            </w:r>
            <w:r w:rsidRPr="00D57AA9">
              <w:rPr>
                <w:rFonts w:ascii="Arial" w:hAnsi="Arial" w:cs="Arial"/>
                <w:bCs/>
                <w:sz w:val="18"/>
                <w:szCs w:val="18"/>
              </w:rPr>
              <w:t xml:space="preserve">Frank Peterson v Google LLC and Others and Elsevier </w:t>
            </w:r>
            <w:proofErr w:type="spellStart"/>
            <w:r w:rsidRPr="00D57AA9">
              <w:rPr>
                <w:rFonts w:ascii="Arial" w:hAnsi="Arial" w:cs="Arial"/>
                <w:bCs/>
                <w:sz w:val="18"/>
                <w:szCs w:val="18"/>
              </w:rPr>
              <w:t>Inc.v</w:t>
            </w:r>
            <w:proofErr w:type="spellEnd"/>
            <w:r w:rsidRPr="00D57AA9">
              <w:rPr>
                <w:rFonts w:ascii="Arial" w:hAnsi="Arial" w:cs="Arial"/>
                <w:bCs/>
                <w:sz w:val="18"/>
                <w:szCs w:val="18"/>
              </w:rPr>
              <w:t xml:space="preserve"> </w:t>
            </w:r>
            <w:proofErr w:type="spellStart"/>
            <w:r w:rsidRPr="00D57AA9">
              <w:rPr>
                <w:rFonts w:ascii="Arial" w:hAnsi="Arial" w:cs="Arial"/>
                <w:bCs/>
                <w:sz w:val="18"/>
                <w:szCs w:val="18"/>
              </w:rPr>
              <w:t>Cyando</w:t>
            </w:r>
            <w:proofErr w:type="spellEnd"/>
            <w:r w:rsidRPr="00D57AA9">
              <w:rPr>
                <w:rFonts w:ascii="Arial" w:hAnsi="Arial" w:cs="Arial"/>
                <w:bCs/>
                <w:sz w:val="18"/>
                <w:szCs w:val="18"/>
              </w:rPr>
              <w:t xml:space="preserve"> AG</w:t>
            </w:r>
            <w:r>
              <w:rPr>
                <w:rFonts w:ascii="Arial" w:hAnsi="Arial" w:cs="Arial"/>
                <w:bCs/>
                <w:sz w:val="18"/>
                <w:szCs w:val="18"/>
              </w:rPr>
              <w:t xml:space="preserve"> (</w:t>
            </w:r>
            <w:r w:rsidRPr="00D57AA9">
              <w:rPr>
                <w:rFonts w:ascii="Arial" w:hAnsi="Arial" w:cs="Arial"/>
                <w:bCs/>
                <w:sz w:val="18"/>
                <w:szCs w:val="18"/>
              </w:rPr>
              <w:t xml:space="preserve">Joined </w:t>
            </w:r>
            <w:r>
              <w:rPr>
                <w:rFonts w:ascii="Arial" w:hAnsi="Arial" w:cs="Arial"/>
                <w:bCs/>
                <w:sz w:val="18"/>
                <w:szCs w:val="18"/>
              </w:rPr>
              <w:t>c</w:t>
            </w:r>
            <w:r w:rsidRPr="00D57AA9">
              <w:rPr>
                <w:rFonts w:ascii="Arial" w:hAnsi="Arial" w:cs="Arial"/>
                <w:bCs/>
                <w:sz w:val="18"/>
                <w:szCs w:val="18"/>
              </w:rPr>
              <w:t>ases C</w:t>
            </w:r>
            <w:r w:rsidRPr="00D57AA9">
              <w:rPr>
                <w:rFonts w:ascii="Cambria Math" w:hAnsi="Cambria Math" w:cs="Cambria Math"/>
                <w:bCs/>
                <w:sz w:val="18"/>
                <w:szCs w:val="18"/>
              </w:rPr>
              <w:t>‑</w:t>
            </w:r>
            <w:r w:rsidRPr="00D57AA9">
              <w:rPr>
                <w:rFonts w:ascii="Arial" w:hAnsi="Arial" w:cs="Arial"/>
                <w:bCs/>
                <w:sz w:val="18"/>
                <w:szCs w:val="18"/>
              </w:rPr>
              <w:t>682/18 and C</w:t>
            </w:r>
            <w:r w:rsidRPr="00D57AA9">
              <w:rPr>
                <w:rFonts w:ascii="Cambria Math" w:hAnsi="Cambria Math" w:cs="Cambria Math"/>
                <w:bCs/>
                <w:sz w:val="18"/>
                <w:szCs w:val="18"/>
              </w:rPr>
              <w:t>‑</w:t>
            </w:r>
            <w:r w:rsidRPr="00D57AA9">
              <w:rPr>
                <w:rFonts w:ascii="Arial" w:hAnsi="Arial" w:cs="Arial"/>
                <w:bCs/>
                <w:sz w:val="18"/>
                <w:szCs w:val="18"/>
              </w:rPr>
              <w:t xml:space="preserve">683/18C-682/18 - YouTube and </w:t>
            </w:r>
            <w:proofErr w:type="spellStart"/>
            <w:r w:rsidRPr="00D57AA9">
              <w:rPr>
                <w:rFonts w:ascii="Arial" w:hAnsi="Arial" w:cs="Arial"/>
                <w:bCs/>
                <w:sz w:val="18"/>
                <w:szCs w:val="18"/>
              </w:rPr>
              <w:t>Cyando</w:t>
            </w:r>
            <w:proofErr w:type="spellEnd"/>
            <w:r>
              <w:rPr>
                <w:rFonts w:ascii="Arial" w:hAnsi="Arial" w:cs="Arial"/>
                <w:bCs/>
                <w:sz w:val="18"/>
                <w:szCs w:val="18"/>
              </w:rPr>
              <w:t>)</w:t>
            </w:r>
          </w:p>
        </w:tc>
      </w:tr>
      <w:tr w:rsidR="005F38E9" w:rsidRPr="0073580A" w14:paraId="6F0BEAEC" w14:textId="77777777" w:rsidTr="00D426E5">
        <w:trPr>
          <w:trHeight w:val="312"/>
        </w:trPr>
        <w:tc>
          <w:tcPr>
            <w:tcW w:w="1621" w:type="pct"/>
            <w:tcMar>
              <w:top w:w="72" w:type="dxa"/>
              <w:left w:w="115" w:type="dxa"/>
              <w:bottom w:w="72" w:type="dxa"/>
              <w:right w:w="115" w:type="dxa"/>
            </w:tcMar>
            <w:vAlign w:val="center"/>
          </w:tcPr>
          <w:p w14:paraId="14A72423" w14:textId="15062439" w:rsidR="005F6E02" w:rsidRPr="005F6E02" w:rsidRDefault="005F6E02" w:rsidP="005F6E02">
            <w:pPr>
              <w:pStyle w:val="ListParagraph"/>
              <w:numPr>
                <w:ilvl w:val="0"/>
                <w:numId w:val="31"/>
              </w:numPr>
              <w:spacing w:after="0"/>
              <w:ind w:left="447" w:hanging="425"/>
              <w:rPr>
                <w:rFonts w:ascii="Arial" w:hAnsi="Arial" w:cs="Arial"/>
                <w:bCs/>
                <w:sz w:val="18"/>
                <w:szCs w:val="18"/>
              </w:rPr>
            </w:pPr>
            <w:r w:rsidRPr="005F6E02">
              <w:rPr>
                <w:rFonts w:ascii="Arial" w:hAnsi="Arial" w:cs="Arial"/>
                <w:b/>
                <w:bCs/>
                <w:sz w:val="18"/>
                <w:szCs w:val="18"/>
                <w:lang w:val="en-GB"/>
              </w:rPr>
              <w:lastRenderedPageBreak/>
              <w:t xml:space="preserve">Competition Law. </w:t>
            </w:r>
            <w:r w:rsidRPr="005F6E02">
              <w:rPr>
                <w:rFonts w:ascii="Arial" w:hAnsi="Arial" w:cs="Arial"/>
                <w:sz w:val="18"/>
                <w:szCs w:val="18"/>
                <w:lang w:val="en-GB"/>
              </w:rPr>
              <w:t xml:space="preserve">Cartels. Monopolies. Abuse of dominant position. Merger control. Unfair commercial practices. Investigations by the Competition Council. </w:t>
            </w:r>
          </w:p>
        </w:tc>
        <w:tc>
          <w:tcPr>
            <w:tcW w:w="368" w:type="pct"/>
            <w:tcMar>
              <w:top w:w="72" w:type="dxa"/>
              <w:left w:w="115" w:type="dxa"/>
              <w:bottom w:w="72" w:type="dxa"/>
              <w:right w:w="115" w:type="dxa"/>
            </w:tcMar>
            <w:vAlign w:val="center"/>
          </w:tcPr>
          <w:p w14:paraId="12E9FC43" w14:textId="7EB08EE4" w:rsidR="005F6E02" w:rsidRPr="005F6E02" w:rsidRDefault="005F6E02" w:rsidP="005F6E02">
            <w:pPr>
              <w:spacing w:after="0"/>
              <w:jc w:val="center"/>
              <w:rPr>
                <w:rFonts w:ascii="Arial" w:hAnsi="Arial" w:cs="Arial"/>
                <w:bCs/>
                <w:sz w:val="18"/>
                <w:szCs w:val="18"/>
              </w:rPr>
            </w:pPr>
            <w:r w:rsidRPr="005F6E02">
              <w:rPr>
                <w:rFonts w:ascii="Arial" w:hAnsi="Arial" w:cs="Arial"/>
                <w:bCs/>
                <w:sz w:val="18"/>
                <w:szCs w:val="18"/>
                <w:lang w:val="en-GB"/>
              </w:rPr>
              <w:t>4</w:t>
            </w:r>
          </w:p>
        </w:tc>
        <w:tc>
          <w:tcPr>
            <w:tcW w:w="756" w:type="pct"/>
            <w:vAlign w:val="center"/>
          </w:tcPr>
          <w:p w14:paraId="0B68062F" w14:textId="3DA0D1E5" w:rsidR="005F6E02" w:rsidRPr="005F6E02" w:rsidRDefault="005F6E02" w:rsidP="005F6E02">
            <w:pPr>
              <w:spacing w:after="0"/>
              <w:rPr>
                <w:rFonts w:ascii="Arial" w:hAnsi="Arial" w:cs="Arial"/>
                <w:bCs/>
                <w:sz w:val="18"/>
                <w:szCs w:val="18"/>
              </w:rPr>
            </w:pPr>
            <w:r w:rsidRPr="005F6E02">
              <w:rPr>
                <w:rFonts w:ascii="Arial" w:hAnsi="Arial" w:cs="Arial"/>
                <w:bCs/>
                <w:sz w:val="18"/>
                <w:szCs w:val="18"/>
              </w:rPr>
              <w:t>Dr. Darius Miniotas</w:t>
            </w:r>
          </w:p>
        </w:tc>
        <w:tc>
          <w:tcPr>
            <w:tcW w:w="2255" w:type="pct"/>
            <w:tcMar>
              <w:top w:w="72" w:type="dxa"/>
              <w:left w:w="115" w:type="dxa"/>
              <w:bottom w:w="72" w:type="dxa"/>
              <w:right w:w="115" w:type="dxa"/>
            </w:tcMar>
            <w:vAlign w:val="center"/>
          </w:tcPr>
          <w:p w14:paraId="06DEEB32" w14:textId="77777777" w:rsidR="005F6E02" w:rsidRPr="005F6E02" w:rsidRDefault="005F6E02" w:rsidP="005F6E02">
            <w:pPr>
              <w:spacing w:after="0"/>
              <w:rPr>
                <w:rFonts w:ascii="Arial" w:hAnsi="Arial" w:cs="Arial"/>
                <w:bCs/>
                <w:sz w:val="18"/>
                <w:szCs w:val="18"/>
              </w:rPr>
            </w:pPr>
            <w:r w:rsidRPr="005F6E02">
              <w:rPr>
                <w:rFonts w:ascii="Arial" w:hAnsi="Arial" w:cs="Arial"/>
                <w:bCs/>
                <w:sz w:val="18"/>
                <w:szCs w:val="18"/>
              </w:rPr>
              <w:t>Articles 5, 7, 8, 15 and 20 of the Law on Competition of The Republic of Lithuania</w:t>
            </w:r>
          </w:p>
          <w:p w14:paraId="30F19583" w14:textId="77777777" w:rsidR="005F6E02" w:rsidRPr="005F6E02" w:rsidRDefault="005F6E02" w:rsidP="005F6E02">
            <w:pPr>
              <w:spacing w:after="0"/>
              <w:rPr>
                <w:rFonts w:ascii="Arial" w:hAnsi="Arial" w:cs="Arial"/>
                <w:bCs/>
                <w:sz w:val="18"/>
                <w:szCs w:val="18"/>
              </w:rPr>
            </w:pPr>
            <w:r w:rsidRPr="0058506B">
              <w:rPr>
                <w:rFonts w:ascii="Arial" w:hAnsi="Arial" w:cs="Arial"/>
                <w:bCs/>
                <w:sz w:val="18"/>
                <w:szCs w:val="18"/>
                <w:u w:val="single"/>
              </w:rPr>
              <w:t>Optional</w:t>
            </w:r>
            <w:r w:rsidRPr="005F6E02">
              <w:rPr>
                <w:rFonts w:ascii="Arial" w:hAnsi="Arial" w:cs="Arial"/>
                <w:bCs/>
                <w:sz w:val="18"/>
                <w:szCs w:val="18"/>
              </w:rPr>
              <w:t>:</w:t>
            </w:r>
          </w:p>
          <w:p w14:paraId="3F018CD8" w14:textId="77777777" w:rsidR="005F6E02" w:rsidRPr="005F6E02" w:rsidRDefault="005F6E02" w:rsidP="005F6E02">
            <w:pPr>
              <w:spacing w:after="0"/>
              <w:rPr>
                <w:rFonts w:ascii="Arial" w:hAnsi="Arial" w:cs="Arial"/>
                <w:bCs/>
                <w:i/>
                <w:iCs/>
                <w:sz w:val="18"/>
                <w:szCs w:val="18"/>
                <w:lang w:val="en-GB"/>
              </w:rPr>
            </w:pPr>
            <w:r w:rsidRPr="005F6E02">
              <w:rPr>
                <w:rFonts w:ascii="Arial" w:hAnsi="Arial" w:cs="Arial"/>
                <w:bCs/>
                <w:i/>
                <w:iCs/>
                <w:sz w:val="18"/>
                <w:szCs w:val="18"/>
                <w:lang w:val="en-GB"/>
              </w:rPr>
              <w:t>R. Whish</w:t>
            </w:r>
            <w:r w:rsidRPr="005F6E02">
              <w:rPr>
                <w:rFonts w:ascii="Arial" w:hAnsi="Arial" w:cs="Arial"/>
                <w:bCs/>
                <w:sz w:val="18"/>
                <w:szCs w:val="18"/>
                <w:lang w:val="en-GB"/>
              </w:rPr>
              <w:t>. Competition Law.</w:t>
            </w:r>
          </w:p>
          <w:p w14:paraId="357F4878" w14:textId="39851489" w:rsidR="005F6E02" w:rsidRPr="005F6E02" w:rsidRDefault="005F6E02" w:rsidP="005F6E02">
            <w:pPr>
              <w:spacing w:after="0"/>
              <w:rPr>
                <w:rFonts w:ascii="Arial" w:hAnsi="Arial" w:cs="Arial"/>
                <w:bCs/>
                <w:sz w:val="18"/>
                <w:szCs w:val="18"/>
              </w:rPr>
            </w:pPr>
            <w:r w:rsidRPr="005F6E02">
              <w:rPr>
                <w:rFonts w:ascii="Arial" w:hAnsi="Arial" w:cs="Arial"/>
                <w:bCs/>
                <w:i/>
                <w:iCs/>
                <w:sz w:val="18"/>
                <w:szCs w:val="18"/>
                <w:lang w:val="en-GB"/>
              </w:rPr>
              <w:t xml:space="preserve">Jones &amp; Sufrin's </w:t>
            </w:r>
            <w:r w:rsidRPr="005F6E02">
              <w:rPr>
                <w:rFonts w:ascii="Arial" w:hAnsi="Arial" w:cs="Arial"/>
                <w:bCs/>
                <w:sz w:val="18"/>
                <w:szCs w:val="18"/>
                <w:lang w:val="en-GB"/>
              </w:rPr>
              <w:t>EU Competition Law</w:t>
            </w:r>
            <w:r w:rsidRPr="005F6E02">
              <w:rPr>
                <w:rFonts w:ascii="Arial" w:hAnsi="Arial" w:cs="Arial"/>
                <w:bCs/>
                <w:i/>
                <w:iCs/>
                <w:sz w:val="18"/>
                <w:szCs w:val="18"/>
                <w:lang w:val="fr-FR"/>
              </w:rPr>
              <w:t>.</w:t>
            </w:r>
          </w:p>
        </w:tc>
      </w:tr>
      <w:tr w:rsidR="005F38E9" w:rsidRPr="00987822" w14:paraId="3475AB26" w14:textId="77777777" w:rsidTr="00D426E5">
        <w:trPr>
          <w:trHeight w:val="312"/>
        </w:trPr>
        <w:tc>
          <w:tcPr>
            <w:tcW w:w="1621" w:type="pct"/>
            <w:tcMar>
              <w:top w:w="72" w:type="dxa"/>
              <w:left w:w="115" w:type="dxa"/>
              <w:bottom w:w="72" w:type="dxa"/>
              <w:right w:w="115" w:type="dxa"/>
            </w:tcMar>
            <w:vAlign w:val="center"/>
          </w:tcPr>
          <w:p w14:paraId="2B084314" w14:textId="5A07819F" w:rsidR="00C72F62" w:rsidRPr="00987822" w:rsidRDefault="00C72F62" w:rsidP="00C72F62">
            <w:pPr>
              <w:pStyle w:val="ListParagraph"/>
              <w:spacing w:after="0"/>
              <w:ind w:left="447" w:hanging="425"/>
              <w:rPr>
                <w:rFonts w:ascii="Arial" w:hAnsi="Arial" w:cs="Arial"/>
                <w:b/>
                <w:bCs/>
                <w:sz w:val="18"/>
                <w:szCs w:val="18"/>
                <w:lang w:val="en-GB"/>
              </w:rPr>
            </w:pPr>
            <w:r w:rsidRPr="00987822">
              <w:rPr>
                <w:rFonts w:ascii="Arial" w:hAnsi="Arial" w:cs="Arial"/>
                <w:b/>
                <w:bCs/>
                <w:sz w:val="18"/>
                <w:szCs w:val="18"/>
                <w:lang w:val="en-GB"/>
              </w:rPr>
              <w:t>Mid Term Exam</w:t>
            </w:r>
          </w:p>
        </w:tc>
        <w:tc>
          <w:tcPr>
            <w:tcW w:w="368" w:type="pct"/>
            <w:tcMar>
              <w:top w:w="72" w:type="dxa"/>
              <w:left w:w="115" w:type="dxa"/>
              <w:bottom w:w="72" w:type="dxa"/>
              <w:right w:w="115" w:type="dxa"/>
            </w:tcMar>
            <w:vAlign w:val="center"/>
          </w:tcPr>
          <w:p w14:paraId="77020F35" w14:textId="0893A54C" w:rsidR="00C72F62" w:rsidRPr="00987822" w:rsidRDefault="00697D9A" w:rsidP="00C72F62">
            <w:pPr>
              <w:spacing w:after="0"/>
              <w:jc w:val="center"/>
              <w:rPr>
                <w:rFonts w:ascii="Arial" w:hAnsi="Arial" w:cs="Arial"/>
                <w:bCs/>
                <w:sz w:val="18"/>
                <w:szCs w:val="18"/>
                <w:lang w:val="en-GB"/>
              </w:rPr>
            </w:pPr>
            <w:r>
              <w:rPr>
                <w:rFonts w:ascii="Arial" w:hAnsi="Arial" w:cs="Arial"/>
                <w:bCs/>
                <w:sz w:val="18"/>
                <w:szCs w:val="18"/>
                <w:lang w:val="en-GB"/>
              </w:rPr>
              <w:t>2</w:t>
            </w:r>
          </w:p>
        </w:tc>
        <w:tc>
          <w:tcPr>
            <w:tcW w:w="756" w:type="pct"/>
            <w:vAlign w:val="center"/>
          </w:tcPr>
          <w:p w14:paraId="1B82A48D" w14:textId="77777777" w:rsidR="00C72F62" w:rsidRPr="00987822" w:rsidRDefault="00C72F62" w:rsidP="00C72F62">
            <w:pPr>
              <w:spacing w:after="0"/>
              <w:rPr>
                <w:rFonts w:ascii="Arial" w:hAnsi="Arial" w:cs="Arial"/>
                <w:bCs/>
                <w:sz w:val="18"/>
                <w:szCs w:val="18"/>
                <w:lang w:val="en-GB"/>
              </w:rPr>
            </w:pPr>
          </w:p>
        </w:tc>
        <w:tc>
          <w:tcPr>
            <w:tcW w:w="2255" w:type="pct"/>
            <w:tcMar>
              <w:top w:w="72" w:type="dxa"/>
              <w:left w:w="115" w:type="dxa"/>
              <w:bottom w:w="72" w:type="dxa"/>
              <w:right w:w="115" w:type="dxa"/>
            </w:tcMar>
            <w:vAlign w:val="center"/>
          </w:tcPr>
          <w:p w14:paraId="250E6642" w14:textId="30C1F28C" w:rsidR="00C72F62" w:rsidRPr="00987822" w:rsidRDefault="00C72F62" w:rsidP="00C72F62">
            <w:pPr>
              <w:spacing w:after="0"/>
              <w:rPr>
                <w:rFonts w:ascii="Arial" w:hAnsi="Arial" w:cs="Arial"/>
                <w:bCs/>
                <w:sz w:val="18"/>
                <w:szCs w:val="18"/>
                <w:lang w:val="en-GB"/>
              </w:rPr>
            </w:pPr>
          </w:p>
        </w:tc>
      </w:tr>
      <w:tr w:rsidR="005F38E9" w:rsidRPr="0073580A" w14:paraId="262F694E" w14:textId="77777777" w:rsidTr="00D426E5">
        <w:trPr>
          <w:trHeight w:val="312"/>
        </w:trPr>
        <w:tc>
          <w:tcPr>
            <w:tcW w:w="1621" w:type="pct"/>
            <w:tcMar>
              <w:top w:w="72" w:type="dxa"/>
              <w:left w:w="115" w:type="dxa"/>
              <w:bottom w:w="72" w:type="dxa"/>
              <w:right w:w="115" w:type="dxa"/>
            </w:tcMar>
            <w:vAlign w:val="center"/>
          </w:tcPr>
          <w:p w14:paraId="0142294C" w14:textId="5A1EC69D" w:rsidR="005F6E02" w:rsidRPr="00E15839" w:rsidRDefault="005F6E02" w:rsidP="005F6E02">
            <w:pPr>
              <w:pStyle w:val="ListParagraph"/>
              <w:numPr>
                <w:ilvl w:val="0"/>
                <w:numId w:val="31"/>
              </w:numPr>
              <w:spacing w:after="0"/>
              <w:ind w:left="447" w:hanging="425"/>
              <w:rPr>
                <w:rFonts w:ascii="Arial" w:hAnsi="Arial" w:cs="Arial"/>
                <w:bCs/>
                <w:sz w:val="18"/>
                <w:szCs w:val="18"/>
                <w:u w:val="single"/>
                <w:lang w:val="en-GB"/>
              </w:rPr>
            </w:pPr>
            <w:r w:rsidRPr="005F6E02">
              <w:rPr>
                <w:rFonts w:ascii="Arial" w:hAnsi="Arial" w:cs="Arial"/>
                <w:b/>
                <w:bCs/>
                <w:sz w:val="18"/>
                <w:szCs w:val="18"/>
                <w:lang w:val="en-GB"/>
              </w:rPr>
              <w:t>Employment</w:t>
            </w:r>
            <w:r w:rsidRPr="005F6E02">
              <w:rPr>
                <w:rFonts w:ascii="Arial" w:hAnsi="Arial" w:cs="Arial"/>
                <w:sz w:val="18"/>
                <w:szCs w:val="18"/>
                <w:lang w:val="en-GB"/>
              </w:rPr>
              <w:t>. Conclusion and end of employment contract. Non-</w:t>
            </w:r>
            <w:r w:rsidR="00C81BE3">
              <w:rPr>
                <w:rFonts w:ascii="Arial" w:hAnsi="Arial" w:cs="Arial"/>
                <w:sz w:val="18"/>
                <w:szCs w:val="18"/>
                <w:lang w:val="en-GB"/>
              </w:rPr>
              <w:t>compete and</w:t>
            </w:r>
            <w:r w:rsidRPr="005F6E02">
              <w:rPr>
                <w:rFonts w:ascii="Arial" w:hAnsi="Arial" w:cs="Arial"/>
                <w:sz w:val="18"/>
                <w:szCs w:val="18"/>
                <w:lang w:val="en-GB"/>
              </w:rPr>
              <w:t xml:space="preserve"> confidentiality agreements. Work council</w:t>
            </w:r>
            <w:r w:rsidR="00C81BE3">
              <w:rPr>
                <w:rFonts w:ascii="Arial" w:hAnsi="Arial" w:cs="Arial"/>
                <w:sz w:val="18"/>
                <w:szCs w:val="18"/>
                <w:lang w:val="en-GB"/>
              </w:rPr>
              <w:t>s</w:t>
            </w:r>
            <w:r w:rsidRPr="005F6E02">
              <w:rPr>
                <w:rFonts w:ascii="Arial" w:hAnsi="Arial" w:cs="Arial"/>
                <w:sz w:val="18"/>
                <w:szCs w:val="18"/>
                <w:lang w:val="en-GB"/>
              </w:rPr>
              <w:t xml:space="preserve"> and trade union</w:t>
            </w:r>
            <w:r w:rsidR="00C81BE3">
              <w:rPr>
                <w:rFonts w:ascii="Arial" w:hAnsi="Arial" w:cs="Arial"/>
                <w:sz w:val="18"/>
                <w:szCs w:val="18"/>
                <w:lang w:val="en-GB"/>
              </w:rPr>
              <w:t>s</w:t>
            </w:r>
            <w:r w:rsidRPr="005F6E02">
              <w:rPr>
                <w:rFonts w:ascii="Arial" w:hAnsi="Arial" w:cs="Arial"/>
                <w:sz w:val="18"/>
                <w:szCs w:val="18"/>
                <w:lang w:val="en-GB"/>
              </w:rPr>
              <w:t xml:space="preserve">. </w:t>
            </w:r>
            <w:r w:rsidR="00C43363" w:rsidRPr="00E15839">
              <w:rPr>
                <w:rFonts w:ascii="Arial" w:hAnsi="Arial" w:cs="Arial"/>
                <w:sz w:val="18"/>
                <w:szCs w:val="18"/>
                <w:lang w:val="en-GB"/>
              </w:rPr>
              <w:t xml:space="preserve">Employment relationship </w:t>
            </w:r>
            <w:r w:rsidR="00C43363" w:rsidRPr="00E15839">
              <w:rPr>
                <w:rFonts w:ascii="Arial" w:hAnsi="Arial" w:cs="Arial"/>
                <w:i/>
                <w:iCs/>
                <w:sz w:val="18"/>
                <w:szCs w:val="18"/>
                <w:lang w:val="en-GB"/>
              </w:rPr>
              <w:t xml:space="preserve">vs </w:t>
            </w:r>
            <w:r w:rsidR="00E15839" w:rsidRPr="00E15839">
              <w:rPr>
                <w:rFonts w:ascii="Arial" w:hAnsi="Arial" w:cs="Arial"/>
                <w:sz w:val="18"/>
                <w:szCs w:val="18"/>
                <w:lang w:val="en-GB"/>
              </w:rPr>
              <w:t xml:space="preserve">provision of </w:t>
            </w:r>
            <w:r w:rsidR="00C43363" w:rsidRPr="00E15839">
              <w:rPr>
                <w:rFonts w:ascii="Arial" w:hAnsi="Arial" w:cs="Arial"/>
                <w:sz w:val="18"/>
                <w:szCs w:val="18"/>
                <w:lang w:val="en-GB"/>
              </w:rPr>
              <w:t>services.</w:t>
            </w:r>
          </w:p>
          <w:p w14:paraId="3B3A511C" w14:textId="1DFE63BA" w:rsidR="00C43363" w:rsidRPr="005F6E02" w:rsidRDefault="00C43363" w:rsidP="00E15839">
            <w:pPr>
              <w:pStyle w:val="ListParagraph"/>
              <w:spacing w:after="0"/>
              <w:ind w:left="447"/>
              <w:rPr>
                <w:rFonts w:ascii="Arial" w:hAnsi="Arial" w:cs="Arial"/>
                <w:bCs/>
                <w:sz w:val="18"/>
                <w:szCs w:val="18"/>
                <w:u w:val="single"/>
              </w:rPr>
            </w:pPr>
          </w:p>
        </w:tc>
        <w:tc>
          <w:tcPr>
            <w:tcW w:w="368" w:type="pct"/>
            <w:tcMar>
              <w:top w:w="72" w:type="dxa"/>
              <w:left w:w="115" w:type="dxa"/>
              <w:bottom w:w="72" w:type="dxa"/>
              <w:right w:w="115" w:type="dxa"/>
            </w:tcMar>
            <w:vAlign w:val="center"/>
          </w:tcPr>
          <w:p w14:paraId="728C7D11" w14:textId="3D54A5B8" w:rsidR="005F6E02" w:rsidRPr="005F6E02" w:rsidRDefault="005F6E02" w:rsidP="005F6E02">
            <w:pPr>
              <w:spacing w:after="0"/>
              <w:jc w:val="center"/>
              <w:rPr>
                <w:rFonts w:ascii="Arial" w:hAnsi="Arial" w:cs="Arial"/>
                <w:bCs/>
                <w:sz w:val="18"/>
                <w:szCs w:val="18"/>
              </w:rPr>
            </w:pPr>
            <w:r w:rsidRPr="005F6E02">
              <w:rPr>
                <w:rFonts w:ascii="Arial" w:hAnsi="Arial" w:cs="Arial"/>
                <w:bCs/>
                <w:sz w:val="18"/>
                <w:szCs w:val="18"/>
                <w:lang w:val="en-GB"/>
              </w:rPr>
              <w:t>4</w:t>
            </w:r>
          </w:p>
        </w:tc>
        <w:tc>
          <w:tcPr>
            <w:tcW w:w="756" w:type="pct"/>
            <w:vAlign w:val="center"/>
          </w:tcPr>
          <w:p w14:paraId="66D51293" w14:textId="378CA69C" w:rsidR="005F6E02" w:rsidRPr="005F6E02" w:rsidRDefault="005F6E02" w:rsidP="005F6E02">
            <w:pPr>
              <w:spacing w:after="0"/>
              <w:rPr>
                <w:rFonts w:ascii="Arial" w:hAnsi="Arial" w:cs="Arial"/>
                <w:bCs/>
                <w:sz w:val="18"/>
                <w:szCs w:val="18"/>
              </w:rPr>
            </w:pPr>
            <w:r w:rsidRPr="005F6E02">
              <w:rPr>
                <w:rFonts w:ascii="Arial" w:hAnsi="Arial" w:cs="Arial"/>
                <w:bCs/>
                <w:sz w:val="18"/>
                <w:szCs w:val="18"/>
              </w:rPr>
              <w:t>Alina Makovska</w:t>
            </w:r>
          </w:p>
        </w:tc>
        <w:tc>
          <w:tcPr>
            <w:tcW w:w="2255" w:type="pct"/>
            <w:tcMar>
              <w:top w:w="72" w:type="dxa"/>
              <w:left w:w="115" w:type="dxa"/>
              <w:bottom w:w="72" w:type="dxa"/>
              <w:right w:w="115" w:type="dxa"/>
            </w:tcMar>
            <w:vAlign w:val="center"/>
          </w:tcPr>
          <w:p w14:paraId="27464B3A" w14:textId="77777777" w:rsidR="005F6E02" w:rsidRPr="005F6E02" w:rsidRDefault="005F6E02" w:rsidP="005F6E02">
            <w:pPr>
              <w:spacing w:after="0"/>
              <w:rPr>
                <w:rFonts w:ascii="Arial" w:hAnsi="Arial" w:cs="Arial"/>
                <w:bCs/>
                <w:sz w:val="18"/>
                <w:szCs w:val="18"/>
              </w:rPr>
            </w:pPr>
            <w:r w:rsidRPr="005F6E02">
              <w:rPr>
                <w:rFonts w:ascii="Arial" w:hAnsi="Arial" w:cs="Arial"/>
                <w:bCs/>
                <w:sz w:val="18"/>
                <w:szCs w:val="18"/>
              </w:rPr>
              <w:t xml:space="preserve">Part 2, Section III, Section V of Lithuanian </w:t>
            </w:r>
            <w:proofErr w:type="spellStart"/>
            <w:r w:rsidRPr="005F6E02">
              <w:rPr>
                <w:rFonts w:ascii="Arial" w:hAnsi="Arial" w:cs="Arial"/>
                <w:bCs/>
                <w:sz w:val="18"/>
                <w:szCs w:val="18"/>
              </w:rPr>
              <w:t>Labour</w:t>
            </w:r>
            <w:proofErr w:type="spellEnd"/>
            <w:r w:rsidRPr="005F6E02">
              <w:rPr>
                <w:rFonts w:ascii="Arial" w:hAnsi="Arial" w:cs="Arial"/>
                <w:bCs/>
                <w:sz w:val="18"/>
                <w:szCs w:val="18"/>
              </w:rPr>
              <w:t xml:space="preserve"> Code</w:t>
            </w:r>
          </w:p>
          <w:p w14:paraId="4EC0BD2C" w14:textId="77777777" w:rsidR="005F6E02" w:rsidRPr="005F6E02" w:rsidRDefault="005F6E02" w:rsidP="005F6E02">
            <w:pPr>
              <w:spacing w:after="0"/>
              <w:rPr>
                <w:rFonts w:ascii="Arial" w:hAnsi="Arial" w:cs="Arial"/>
                <w:bCs/>
                <w:sz w:val="18"/>
                <w:szCs w:val="18"/>
              </w:rPr>
            </w:pPr>
            <w:r w:rsidRPr="005F6E02">
              <w:rPr>
                <w:rFonts w:ascii="Arial" w:hAnsi="Arial" w:cs="Arial"/>
                <w:bCs/>
                <w:sz w:val="18"/>
                <w:szCs w:val="18"/>
              </w:rPr>
              <w:t xml:space="preserve">Article 38, Article 39 of Lithuanian </w:t>
            </w:r>
            <w:proofErr w:type="spellStart"/>
            <w:r w:rsidRPr="005F6E02">
              <w:rPr>
                <w:rFonts w:ascii="Arial" w:hAnsi="Arial" w:cs="Arial"/>
                <w:bCs/>
                <w:sz w:val="18"/>
                <w:szCs w:val="18"/>
              </w:rPr>
              <w:t>Labour</w:t>
            </w:r>
            <w:proofErr w:type="spellEnd"/>
            <w:r w:rsidRPr="005F6E02">
              <w:rPr>
                <w:rFonts w:ascii="Arial" w:hAnsi="Arial" w:cs="Arial"/>
                <w:bCs/>
                <w:sz w:val="18"/>
                <w:szCs w:val="18"/>
              </w:rPr>
              <w:t xml:space="preserve"> Code</w:t>
            </w:r>
          </w:p>
          <w:p w14:paraId="5326174D" w14:textId="77777777" w:rsidR="005F6E02" w:rsidRPr="005F6E02" w:rsidRDefault="005F6E02" w:rsidP="005F6E02">
            <w:pPr>
              <w:spacing w:after="0"/>
              <w:rPr>
                <w:rFonts w:ascii="Arial" w:hAnsi="Arial" w:cs="Arial"/>
                <w:bCs/>
                <w:sz w:val="18"/>
                <w:szCs w:val="18"/>
              </w:rPr>
            </w:pPr>
            <w:r w:rsidRPr="005F6E02">
              <w:rPr>
                <w:rFonts w:ascii="Arial" w:hAnsi="Arial" w:cs="Arial"/>
                <w:bCs/>
                <w:sz w:val="18"/>
                <w:szCs w:val="18"/>
              </w:rPr>
              <w:t xml:space="preserve">Part 3, Section II, Paragraph 1,2,4 of Lithuanian </w:t>
            </w:r>
            <w:proofErr w:type="spellStart"/>
            <w:r w:rsidRPr="005F6E02">
              <w:rPr>
                <w:rFonts w:ascii="Arial" w:hAnsi="Arial" w:cs="Arial"/>
                <w:bCs/>
                <w:sz w:val="18"/>
                <w:szCs w:val="18"/>
              </w:rPr>
              <w:t>Labour</w:t>
            </w:r>
            <w:proofErr w:type="spellEnd"/>
            <w:r w:rsidRPr="005F6E02">
              <w:rPr>
                <w:rFonts w:ascii="Arial" w:hAnsi="Arial" w:cs="Arial"/>
                <w:bCs/>
                <w:sz w:val="18"/>
                <w:szCs w:val="18"/>
              </w:rPr>
              <w:t xml:space="preserve"> Code</w:t>
            </w:r>
          </w:p>
          <w:p w14:paraId="7758C866" w14:textId="77777777" w:rsidR="005F6E02" w:rsidRPr="005F6E02" w:rsidRDefault="005F6E02" w:rsidP="005F6E02">
            <w:pPr>
              <w:spacing w:after="0"/>
              <w:rPr>
                <w:rFonts w:ascii="Arial" w:hAnsi="Arial" w:cs="Arial"/>
                <w:bCs/>
                <w:sz w:val="18"/>
                <w:szCs w:val="18"/>
              </w:rPr>
            </w:pPr>
          </w:p>
          <w:p w14:paraId="1FC6E058" w14:textId="07844BB6" w:rsidR="005F6E02" w:rsidRPr="005F6E02" w:rsidRDefault="005F6E02" w:rsidP="005F6E02">
            <w:pPr>
              <w:spacing w:after="0"/>
              <w:rPr>
                <w:rFonts w:ascii="Arial" w:hAnsi="Arial" w:cs="Arial"/>
                <w:bCs/>
                <w:sz w:val="18"/>
                <w:szCs w:val="18"/>
              </w:rPr>
            </w:pPr>
            <w:r w:rsidRPr="0058506B">
              <w:rPr>
                <w:rFonts w:ascii="Arial" w:hAnsi="Arial" w:cs="Arial"/>
                <w:bCs/>
                <w:sz w:val="18"/>
                <w:szCs w:val="18"/>
                <w:u w:val="single"/>
              </w:rPr>
              <w:t>Optional</w:t>
            </w:r>
            <w:r w:rsidRPr="005F6E02">
              <w:rPr>
                <w:rFonts w:ascii="Arial" w:hAnsi="Arial" w:cs="Arial"/>
                <w:bCs/>
                <w:sz w:val="18"/>
                <w:szCs w:val="18"/>
              </w:rPr>
              <w:t>:</w:t>
            </w:r>
          </w:p>
          <w:p w14:paraId="6374B6F2" w14:textId="46DF64C8" w:rsidR="005F6E02" w:rsidRDefault="00697D9A" w:rsidP="005F6E02">
            <w:pPr>
              <w:spacing w:after="0"/>
              <w:rPr>
                <w:rFonts w:ascii="Arial" w:hAnsi="Arial" w:cs="Arial"/>
                <w:bCs/>
                <w:sz w:val="18"/>
                <w:szCs w:val="18"/>
              </w:rPr>
            </w:pPr>
            <w:r w:rsidRPr="00697D9A">
              <w:rPr>
                <w:rFonts w:ascii="Arial" w:hAnsi="Arial" w:cs="Arial"/>
                <w:bCs/>
                <w:sz w:val="18"/>
                <w:szCs w:val="18"/>
              </w:rPr>
              <w:t>A comparison of laws in selected EU jurisdictions relating to post-contractual, non-competition agreements between employers and employees</w:t>
            </w:r>
            <w:r>
              <w:rPr>
                <w:rFonts w:ascii="Arial" w:hAnsi="Arial" w:cs="Arial"/>
                <w:bCs/>
                <w:sz w:val="18"/>
                <w:szCs w:val="18"/>
              </w:rPr>
              <w:t xml:space="preserve"> (</w:t>
            </w:r>
            <w:hyperlink r:id="rId9" w:history="1">
              <w:r w:rsidRPr="00697D9A">
                <w:rPr>
                  <w:rStyle w:val="Hyperlink"/>
                  <w:rFonts w:ascii="Arial" w:hAnsi="Arial" w:cs="Arial"/>
                  <w:bCs/>
                  <w:sz w:val="18"/>
                  <w:szCs w:val="18"/>
                </w:rPr>
                <w:t>link</w:t>
              </w:r>
            </w:hyperlink>
            <w:r>
              <w:rPr>
                <w:rFonts w:ascii="Arial" w:hAnsi="Arial" w:cs="Arial"/>
                <w:bCs/>
                <w:sz w:val="18"/>
                <w:szCs w:val="18"/>
              </w:rPr>
              <w:t>)</w:t>
            </w:r>
          </w:p>
          <w:p w14:paraId="12A6DB15" w14:textId="16D06F05" w:rsidR="00697D9A" w:rsidRPr="0073580A" w:rsidRDefault="00697D9A" w:rsidP="005F6E02">
            <w:pPr>
              <w:spacing w:after="0"/>
              <w:rPr>
                <w:rFonts w:ascii="Arial" w:hAnsi="Arial" w:cs="Arial"/>
                <w:bCs/>
                <w:sz w:val="18"/>
                <w:szCs w:val="18"/>
              </w:rPr>
            </w:pPr>
            <w:r w:rsidRPr="00697D9A">
              <w:rPr>
                <w:rFonts w:ascii="Arial" w:hAnsi="Arial" w:cs="Arial"/>
                <w:bCs/>
                <w:sz w:val="18"/>
                <w:szCs w:val="18"/>
              </w:rPr>
              <w:t>New proposals on non-compete clauses in Finland: what will change for employers?</w:t>
            </w:r>
            <w:r>
              <w:rPr>
                <w:rFonts w:ascii="Arial" w:hAnsi="Arial" w:cs="Arial"/>
                <w:bCs/>
                <w:sz w:val="18"/>
                <w:szCs w:val="18"/>
              </w:rPr>
              <w:t xml:space="preserve"> (</w:t>
            </w:r>
            <w:hyperlink r:id="rId10" w:history="1">
              <w:r w:rsidRPr="003A5F58">
                <w:rPr>
                  <w:rStyle w:val="Hyperlink"/>
                  <w:rFonts w:ascii="Arial" w:hAnsi="Arial" w:cs="Arial"/>
                  <w:bCs/>
                  <w:sz w:val="18"/>
                  <w:szCs w:val="18"/>
                </w:rPr>
                <w:t>link</w:t>
              </w:r>
            </w:hyperlink>
            <w:r>
              <w:rPr>
                <w:rFonts w:ascii="Arial" w:hAnsi="Arial" w:cs="Arial"/>
                <w:bCs/>
                <w:sz w:val="18"/>
                <w:szCs w:val="18"/>
              </w:rPr>
              <w:t>)</w:t>
            </w:r>
          </w:p>
        </w:tc>
      </w:tr>
      <w:tr w:rsidR="005F38E9" w:rsidRPr="00A36B9C" w14:paraId="365D255B" w14:textId="77777777" w:rsidTr="00D426E5">
        <w:trPr>
          <w:trHeight w:val="312"/>
        </w:trPr>
        <w:tc>
          <w:tcPr>
            <w:tcW w:w="1621" w:type="pct"/>
            <w:tcMar>
              <w:top w:w="72" w:type="dxa"/>
              <w:left w:w="115" w:type="dxa"/>
              <w:bottom w:w="72" w:type="dxa"/>
              <w:right w:w="115" w:type="dxa"/>
            </w:tcMar>
            <w:vAlign w:val="center"/>
          </w:tcPr>
          <w:p w14:paraId="6874D752" w14:textId="7B6AA953" w:rsidR="00C72F62" w:rsidRPr="00A36B9C" w:rsidRDefault="00A36B9C" w:rsidP="00C72F62">
            <w:pPr>
              <w:pStyle w:val="ListParagraph"/>
              <w:numPr>
                <w:ilvl w:val="0"/>
                <w:numId w:val="31"/>
              </w:numPr>
              <w:spacing w:after="0"/>
              <w:ind w:left="447" w:hanging="425"/>
              <w:rPr>
                <w:rFonts w:ascii="Arial" w:hAnsi="Arial" w:cs="Arial"/>
                <w:sz w:val="18"/>
                <w:szCs w:val="18"/>
                <w:lang w:val="en-GB"/>
              </w:rPr>
            </w:pPr>
            <w:r w:rsidRPr="00A36B9C">
              <w:rPr>
                <w:rFonts w:ascii="Arial" w:hAnsi="Arial" w:cs="Arial"/>
                <w:b/>
                <w:bCs/>
                <w:sz w:val="18"/>
                <w:szCs w:val="18"/>
                <w:lang w:val="en-GB"/>
              </w:rPr>
              <w:t>Property law</w:t>
            </w:r>
            <w:r w:rsidR="00C72F62" w:rsidRPr="00A36B9C">
              <w:rPr>
                <w:rFonts w:ascii="Arial" w:hAnsi="Arial" w:cs="Arial"/>
                <w:sz w:val="18"/>
                <w:szCs w:val="18"/>
                <w:lang w:val="en-GB"/>
              </w:rPr>
              <w:t>.</w:t>
            </w:r>
            <w:r w:rsidRPr="00A36B9C">
              <w:rPr>
                <w:rFonts w:ascii="Arial" w:hAnsi="Arial" w:cs="Arial"/>
                <w:sz w:val="18"/>
                <w:szCs w:val="18"/>
                <w:lang w:val="en-GB"/>
              </w:rPr>
              <w:t xml:space="preserve"> Real estate transactions (purchase and sale, lease, servitudes, construction, etc.). Role of notaries and registers. Territorial zoning and planning</w:t>
            </w:r>
            <w:r w:rsidR="00C72F62" w:rsidRPr="00A36B9C">
              <w:rPr>
                <w:rFonts w:ascii="Arial" w:hAnsi="Arial" w:cs="Arial"/>
                <w:sz w:val="18"/>
                <w:szCs w:val="18"/>
                <w:lang w:val="en-GB"/>
              </w:rPr>
              <w:t>.</w:t>
            </w:r>
          </w:p>
        </w:tc>
        <w:tc>
          <w:tcPr>
            <w:tcW w:w="368" w:type="pct"/>
            <w:tcMar>
              <w:top w:w="72" w:type="dxa"/>
              <w:left w:w="115" w:type="dxa"/>
              <w:bottom w:w="72" w:type="dxa"/>
              <w:right w:w="115" w:type="dxa"/>
            </w:tcMar>
            <w:vAlign w:val="center"/>
          </w:tcPr>
          <w:p w14:paraId="62D89FA5" w14:textId="67C11A77" w:rsidR="00C72F62" w:rsidRPr="00A36B9C" w:rsidRDefault="00C72F62" w:rsidP="00C72F62">
            <w:pPr>
              <w:spacing w:after="0"/>
              <w:jc w:val="center"/>
              <w:rPr>
                <w:rFonts w:ascii="Arial" w:hAnsi="Arial" w:cs="Arial"/>
                <w:bCs/>
                <w:sz w:val="18"/>
                <w:szCs w:val="18"/>
                <w:lang w:val="en-GB"/>
              </w:rPr>
            </w:pPr>
            <w:r w:rsidRPr="00A36B9C">
              <w:rPr>
                <w:rFonts w:ascii="Arial" w:hAnsi="Arial" w:cs="Arial"/>
                <w:bCs/>
                <w:sz w:val="18"/>
                <w:szCs w:val="18"/>
                <w:lang w:val="en-GB"/>
              </w:rPr>
              <w:t>4</w:t>
            </w:r>
          </w:p>
        </w:tc>
        <w:tc>
          <w:tcPr>
            <w:tcW w:w="756" w:type="pct"/>
            <w:vAlign w:val="center"/>
          </w:tcPr>
          <w:p w14:paraId="1F66680F" w14:textId="221DCE29" w:rsidR="00C72F62" w:rsidRPr="00A36B9C" w:rsidRDefault="00C72F62" w:rsidP="00C72F62">
            <w:pPr>
              <w:spacing w:after="0"/>
              <w:rPr>
                <w:rFonts w:ascii="Arial" w:hAnsi="Arial" w:cs="Arial"/>
                <w:bCs/>
                <w:sz w:val="18"/>
                <w:szCs w:val="18"/>
                <w:lang w:val="en-GB"/>
              </w:rPr>
            </w:pPr>
            <w:proofErr w:type="spellStart"/>
            <w:r w:rsidRPr="00A36B9C">
              <w:rPr>
                <w:rFonts w:ascii="Arial" w:hAnsi="Arial" w:cs="Arial"/>
                <w:bCs/>
                <w:sz w:val="18"/>
                <w:szCs w:val="18"/>
                <w:lang w:val="en-GB"/>
              </w:rPr>
              <w:t>Dr.</w:t>
            </w:r>
            <w:proofErr w:type="spellEnd"/>
            <w:r w:rsidRPr="00A36B9C">
              <w:rPr>
                <w:rFonts w:ascii="Arial" w:hAnsi="Arial" w:cs="Arial"/>
                <w:bCs/>
                <w:sz w:val="18"/>
                <w:szCs w:val="18"/>
                <w:lang w:val="en-GB"/>
              </w:rPr>
              <w:t xml:space="preserve"> Evaldas Klimas</w:t>
            </w:r>
          </w:p>
        </w:tc>
        <w:tc>
          <w:tcPr>
            <w:tcW w:w="2255" w:type="pct"/>
            <w:tcMar>
              <w:top w:w="72" w:type="dxa"/>
              <w:left w:w="115" w:type="dxa"/>
              <w:bottom w:w="72" w:type="dxa"/>
              <w:right w:w="115" w:type="dxa"/>
            </w:tcMar>
            <w:vAlign w:val="center"/>
          </w:tcPr>
          <w:p w14:paraId="510C2438" w14:textId="77777777" w:rsidR="004C23CF" w:rsidRPr="005F6E02" w:rsidRDefault="004C23CF" w:rsidP="004C23CF">
            <w:pPr>
              <w:spacing w:after="0"/>
              <w:rPr>
                <w:rFonts w:ascii="Arial" w:hAnsi="Arial" w:cs="Arial"/>
                <w:bCs/>
                <w:sz w:val="18"/>
                <w:szCs w:val="18"/>
                <w:lang w:val="en-GB"/>
              </w:rPr>
            </w:pPr>
            <w:r w:rsidRPr="005F6E02">
              <w:rPr>
                <w:rFonts w:ascii="Arial" w:hAnsi="Arial" w:cs="Arial"/>
                <w:bCs/>
                <w:sz w:val="18"/>
                <w:szCs w:val="18"/>
                <w:lang w:val="en-GB"/>
              </w:rPr>
              <w:t xml:space="preserve">Articles </w:t>
            </w:r>
            <w:r>
              <w:rPr>
                <w:rFonts w:ascii="Arial" w:hAnsi="Arial" w:cs="Arial"/>
                <w:bCs/>
                <w:sz w:val="18"/>
                <w:szCs w:val="18"/>
                <w:lang w:val="en-GB"/>
              </w:rPr>
              <w:t>4.74</w:t>
            </w:r>
            <w:r w:rsidRPr="005F6E02">
              <w:rPr>
                <w:rFonts w:ascii="Arial" w:hAnsi="Arial" w:cs="Arial"/>
                <w:bCs/>
                <w:sz w:val="18"/>
                <w:szCs w:val="18"/>
                <w:lang w:val="en-GB"/>
              </w:rPr>
              <w:t>-</w:t>
            </w:r>
            <w:r>
              <w:rPr>
                <w:rFonts w:ascii="Arial" w:hAnsi="Arial" w:cs="Arial"/>
                <w:bCs/>
                <w:sz w:val="18"/>
                <w:szCs w:val="18"/>
                <w:lang w:val="en-GB"/>
              </w:rPr>
              <w:t>4.92</w:t>
            </w:r>
            <w:r w:rsidRPr="005F6E02">
              <w:rPr>
                <w:rFonts w:ascii="Arial" w:hAnsi="Arial" w:cs="Arial"/>
                <w:bCs/>
                <w:sz w:val="18"/>
                <w:szCs w:val="18"/>
                <w:lang w:val="en-GB"/>
              </w:rPr>
              <w:t xml:space="preserve"> of Lithuanian Civil Code</w:t>
            </w:r>
          </w:p>
          <w:p w14:paraId="59D6581A" w14:textId="77777777" w:rsidR="004C23CF" w:rsidRPr="005F6E02" w:rsidRDefault="004C23CF" w:rsidP="004C23CF">
            <w:pPr>
              <w:spacing w:after="0"/>
              <w:rPr>
                <w:rFonts w:ascii="Arial" w:hAnsi="Arial" w:cs="Arial"/>
                <w:bCs/>
                <w:sz w:val="18"/>
                <w:szCs w:val="18"/>
                <w:lang w:val="en-GB"/>
              </w:rPr>
            </w:pPr>
            <w:r w:rsidRPr="005F6E02">
              <w:rPr>
                <w:rFonts w:ascii="Arial" w:hAnsi="Arial" w:cs="Arial"/>
                <w:bCs/>
                <w:sz w:val="18"/>
                <w:szCs w:val="18"/>
                <w:lang w:val="en-GB"/>
              </w:rPr>
              <w:t>Articles 6.</w:t>
            </w:r>
            <w:r>
              <w:rPr>
                <w:rFonts w:ascii="Arial" w:hAnsi="Arial" w:cs="Arial"/>
                <w:bCs/>
                <w:sz w:val="18"/>
                <w:szCs w:val="18"/>
                <w:lang w:val="en-GB"/>
              </w:rPr>
              <w:t>392</w:t>
            </w:r>
            <w:r w:rsidRPr="005F6E02">
              <w:rPr>
                <w:rFonts w:ascii="Arial" w:hAnsi="Arial" w:cs="Arial"/>
                <w:bCs/>
                <w:sz w:val="18"/>
                <w:szCs w:val="18"/>
                <w:lang w:val="en-GB"/>
              </w:rPr>
              <w:t>-6.</w:t>
            </w:r>
            <w:r>
              <w:rPr>
                <w:rFonts w:ascii="Arial" w:hAnsi="Arial" w:cs="Arial"/>
                <w:bCs/>
                <w:sz w:val="18"/>
                <w:szCs w:val="18"/>
                <w:lang w:val="en-GB"/>
              </w:rPr>
              <w:t xml:space="preserve">401 </w:t>
            </w:r>
            <w:r w:rsidRPr="005F6E02">
              <w:rPr>
                <w:rFonts w:ascii="Arial" w:hAnsi="Arial" w:cs="Arial"/>
                <w:bCs/>
                <w:sz w:val="18"/>
                <w:szCs w:val="18"/>
                <w:lang w:val="en-GB"/>
              </w:rPr>
              <w:t>of Lithuanian Civil Code</w:t>
            </w:r>
          </w:p>
          <w:p w14:paraId="0EFEBC88" w14:textId="77777777" w:rsidR="004C23CF" w:rsidRDefault="004C23CF" w:rsidP="004C23CF">
            <w:pPr>
              <w:spacing w:after="0"/>
              <w:rPr>
                <w:rFonts w:ascii="Arial" w:hAnsi="Arial" w:cs="Arial"/>
                <w:bCs/>
                <w:sz w:val="18"/>
                <w:szCs w:val="18"/>
                <w:lang w:val="en-GB"/>
              </w:rPr>
            </w:pPr>
            <w:r w:rsidRPr="005F6E02">
              <w:rPr>
                <w:rFonts w:ascii="Arial" w:hAnsi="Arial" w:cs="Arial"/>
                <w:bCs/>
                <w:sz w:val="18"/>
                <w:szCs w:val="18"/>
                <w:lang w:val="en-GB"/>
              </w:rPr>
              <w:t>Articles 6.</w:t>
            </w:r>
            <w:r>
              <w:rPr>
                <w:rFonts w:ascii="Arial" w:hAnsi="Arial" w:cs="Arial"/>
                <w:bCs/>
                <w:sz w:val="18"/>
                <w:szCs w:val="18"/>
                <w:lang w:val="en-GB"/>
              </w:rPr>
              <w:t>477</w:t>
            </w:r>
            <w:r w:rsidRPr="005F6E02">
              <w:rPr>
                <w:rFonts w:ascii="Arial" w:hAnsi="Arial" w:cs="Arial"/>
                <w:bCs/>
                <w:sz w:val="18"/>
                <w:szCs w:val="18"/>
                <w:lang w:val="en-GB"/>
              </w:rPr>
              <w:t>-6.</w:t>
            </w:r>
            <w:r>
              <w:rPr>
                <w:rFonts w:ascii="Arial" w:hAnsi="Arial" w:cs="Arial"/>
                <w:bCs/>
                <w:sz w:val="18"/>
                <w:szCs w:val="18"/>
                <w:lang w:val="en-GB"/>
              </w:rPr>
              <w:t>574</w:t>
            </w:r>
            <w:r w:rsidRPr="005F6E02">
              <w:rPr>
                <w:rFonts w:ascii="Arial" w:hAnsi="Arial" w:cs="Arial"/>
                <w:bCs/>
                <w:sz w:val="18"/>
                <w:szCs w:val="18"/>
                <w:lang w:val="en-GB"/>
              </w:rPr>
              <w:t xml:space="preserve"> of Lithuanian Civil Code</w:t>
            </w:r>
          </w:p>
          <w:p w14:paraId="5D937423" w14:textId="77777777" w:rsidR="004C23CF" w:rsidRPr="005F6E02" w:rsidRDefault="004C23CF" w:rsidP="004C23CF">
            <w:pPr>
              <w:spacing w:after="0"/>
              <w:rPr>
                <w:rFonts w:ascii="Arial" w:hAnsi="Arial" w:cs="Arial"/>
                <w:bCs/>
                <w:sz w:val="18"/>
                <w:szCs w:val="18"/>
                <w:lang w:val="en-GB"/>
              </w:rPr>
            </w:pPr>
            <w:r>
              <w:rPr>
                <w:rFonts w:ascii="Arial" w:hAnsi="Arial" w:cs="Arial"/>
                <w:bCs/>
                <w:sz w:val="18"/>
                <w:szCs w:val="18"/>
                <w:lang w:val="en-GB"/>
              </w:rPr>
              <w:t xml:space="preserve">Law on zoning and planning </w:t>
            </w:r>
            <w:r w:rsidRPr="005F6E02">
              <w:rPr>
                <w:rFonts w:ascii="Arial" w:hAnsi="Arial" w:cs="Arial"/>
                <w:bCs/>
                <w:sz w:val="18"/>
                <w:szCs w:val="18"/>
              </w:rPr>
              <w:t>of The Republic of Lithuania</w:t>
            </w:r>
          </w:p>
          <w:p w14:paraId="7CDB4E89" w14:textId="77777777" w:rsidR="004C23CF" w:rsidRDefault="004C23CF" w:rsidP="004C23CF">
            <w:pPr>
              <w:spacing w:after="0"/>
              <w:rPr>
                <w:rFonts w:ascii="Arial" w:hAnsi="Arial" w:cs="Arial"/>
                <w:bCs/>
                <w:sz w:val="18"/>
                <w:szCs w:val="18"/>
                <w:lang w:val="en-GB"/>
              </w:rPr>
            </w:pPr>
          </w:p>
          <w:p w14:paraId="0460C639" w14:textId="77777777" w:rsidR="004C23CF" w:rsidRPr="005F6E02" w:rsidRDefault="004C23CF" w:rsidP="004C23CF">
            <w:pPr>
              <w:spacing w:after="0"/>
              <w:rPr>
                <w:rFonts w:ascii="Arial" w:hAnsi="Arial" w:cs="Arial"/>
                <w:bCs/>
                <w:sz w:val="18"/>
                <w:szCs w:val="18"/>
              </w:rPr>
            </w:pPr>
            <w:r w:rsidRPr="0058506B">
              <w:rPr>
                <w:rFonts w:ascii="Arial" w:hAnsi="Arial" w:cs="Arial"/>
                <w:bCs/>
                <w:sz w:val="18"/>
                <w:szCs w:val="18"/>
                <w:u w:val="single"/>
              </w:rPr>
              <w:t>Optional</w:t>
            </w:r>
            <w:r w:rsidRPr="005F6E02">
              <w:rPr>
                <w:rFonts w:ascii="Arial" w:hAnsi="Arial" w:cs="Arial"/>
                <w:bCs/>
                <w:sz w:val="18"/>
                <w:szCs w:val="18"/>
              </w:rPr>
              <w:t>:</w:t>
            </w:r>
          </w:p>
          <w:p w14:paraId="2B715881" w14:textId="0D19229D" w:rsidR="00C72F62" w:rsidRPr="000006A5" w:rsidRDefault="004C23CF" w:rsidP="000006A5">
            <w:pPr>
              <w:pStyle w:val="Heading1"/>
              <w:shd w:val="clear" w:color="auto" w:fill="FFFFFF"/>
              <w:spacing w:before="0" w:after="0" w:line="240" w:lineRule="auto"/>
              <w:rPr>
                <w:rFonts w:ascii="Arial" w:hAnsi="Arial" w:cs="Arial"/>
                <w:b w:val="0"/>
                <w:kern w:val="0"/>
                <w:sz w:val="18"/>
                <w:szCs w:val="18"/>
                <w:lang w:val="en-GB"/>
              </w:rPr>
            </w:pPr>
            <w:r w:rsidRPr="000106C5">
              <w:rPr>
                <w:rFonts w:ascii="Arial" w:hAnsi="Arial" w:cs="Arial"/>
                <w:b w:val="0"/>
                <w:i/>
                <w:iCs/>
                <w:sz w:val="18"/>
                <w:szCs w:val="18"/>
                <w:lang w:val="en-GB"/>
              </w:rPr>
              <w:t>J</w:t>
            </w:r>
            <w:r w:rsidRPr="000106C5">
              <w:rPr>
                <w:rFonts w:ascii="Arial" w:hAnsi="Arial" w:cs="Arial"/>
                <w:b w:val="0"/>
                <w:i/>
                <w:iCs/>
                <w:kern w:val="0"/>
                <w:sz w:val="18"/>
                <w:szCs w:val="18"/>
                <w:lang w:val="en-GB"/>
              </w:rPr>
              <w:t>. Nolon</w:t>
            </w:r>
            <w:r w:rsidRPr="000106C5">
              <w:rPr>
                <w:rFonts w:ascii="Arial" w:hAnsi="Arial" w:cs="Arial"/>
                <w:b w:val="0"/>
                <w:kern w:val="0"/>
                <w:sz w:val="18"/>
                <w:szCs w:val="18"/>
                <w:lang w:val="en-GB"/>
              </w:rPr>
              <w:t xml:space="preserve"> </w:t>
            </w:r>
            <w:r w:rsidRPr="000106C5">
              <w:rPr>
                <w:rFonts w:ascii="Arial" w:hAnsi="Arial" w:cs="Arial"/>
                <w:b w:val="0"/>
                <w:i/>
                <w:iCs/>
                <w:kern w:val="0"/>
                <w:sz w:val="18"/>
                <w:szCs w:val="18"/>
                <w:lang w:val="en-GB"/>
              </w:rPr>
              <w:t>et al</w:t>
            </w:r>
            <w:r w:rsidRPr="000106C5">
              <w:rPr>
                <w:rFonts w:ascii="Arial" w:hAnsi="Arial" w:cs="Arial"/>
                <w:b w:val="0"/>
                <w:kern w:val="0"/>
                <w:sz w:val="18"/>
                <w:szCs w:val="18"/>
                <w:lang w:val="en-GB"/>
              </w:rPr>
              <w:t xml:space="preserve"> Land Use and Sustainable Development Law, Cases and Materials</w:t>
            </w:r>
          </w:p>
        </w:tc>
      </w:tr>
      <w:tr w:rsidR="005F38E9" w:rsidRPr="0073580A" w14:paraId="6AF960D3" w14:textId="77777777" w:rsidTr="00D426E5">
        <w:trPr>
          <w:trHeight w:val="312"/>
        </w:trPr>
        <w:tc>
          <w:tcPr>
            <w:tcW w:w="1621" w:type="pct"/>
            <w:tcMar>
              <w:top w:w="72" w:type="dxa"/>
              <w:left w:w="115" w:type="dxa"/>
              <w:bottom w:w="72" w:type="dxa"/>
              <w:right w:w="115" w:type="dxa"/>
            </w:tcMar>
            <w:vAlign w:val="center"/>
          </w:tcPr>
          <w:p w14:paraId="6DE3622B" w14:textId="05D2CC13" w:rsidR="00AA3121" w:rsidRPr="005F6E02" w:rsidRDefault="00AA3121" w:rsidP="00AA3121">
            <w:pPr>
              <w:pStyle w:val="ListParagraph"/>
              <w:numPr>
                <w:ilvl w:val="0"/>
                <w:numId w:val="31"/>
              </w:numPr>
              <w:spacing w:after="0"/>
              <w:ind w:left="447" w:hanging="425"/>
              <w:rPr>
                <w:rFonts w:ascii="Arial" w:hAnsi="Arial" w:cs="Arial"/>
                <w:sz w:val="18"/>
                <w:szCs w:val="18"/>
              </w:rPr>
            </w:pPr>
            <w:r w:rsidRPr="005F6E02">
              <w:rPr>
                <w:rFonts w:ascii="Arial" w:hAnsi="Arial" w:cs="Arial"/>
                <w:b/>
                <w:bCs/>
                <w:sz w:val="18"/>
                <w:szCs w:val="18"/>
                <w:lang w:val="en-GB"/>
              </w:rPr>
              <w:t>Debt financing. Insolvency.</w:t>
            </w:r>
            <w:r w:rsidRPr="005F6E02">
              <w:rPr>
                <w:rFonts w:ascii="Arial" w:hAnsi="Arial" w:cs="Arial"/>
                <w:sz w:val="18"/>
                <w:szCs w:val="18"/>
                <w:lang w:val="en-GB"/>
              </w:rPr>
              <w:t xml:space="preserve"> Business loans – intercompany loans, corporate loans, bank loans. Other forms of financing – leasing and factoring. Security measures.</w:t>
            </w:r>
            <w:r w:rsidR="008A5B92">
              <w:rPr>
                <w:rFonts w:ascii="Arial" w:hAnsi="Arial" w:cs="Arial"/>
                <w:sz w:val="18"/>
                <w:szCs w:val="18"/>
                <w:lang w:val="en-GB"/>
              </w:rPr>
              <w:t xml:space="preserve"> Assignment.</w:t>
            </w:r>
            <w:r w:rsidRPr="005F6E02">
              <w:rPr>
                <w:rFonts w:ascii="Arial" w:hAnsi="Arial" w:cs="Arial"/>
                <w:sz w:val="18"/>
                <w:szCs w:val="18"/>
                <w:lang w:val="en-GB"/>
              </w:rPr>
              <w:t xml:space="preserve"> Corporate insolvency.</w:t>
            </w:r>
          </w:p>
        </w:tc>
        <w:tc>
          <w:tcPr>
            <w:tcW w:w="368" w:type="pct"/>
            <w:tcMar>
              <w:top w:w="72" w:type="dxa"/>
              <w:left w:w="115" w:type="dxa"/>
              <w:bottom w:w="72" w:type="dxa"/>
              <w:right w:w="115" w:type="dxa"/>
            </w:tcMar>
            <w:vAlign w:val="center"/>
          </w:tcPr>
          <w:p w14:paraId="16242F29" w14:textId="335CA0E5" w:rsidR="00AA3121" w:rsidRPr="005F6E02" w:rsidRDefault="00AA3121" w:rsidP="00AA3121">
            <w:pPr>
              <w:spacing w:after="0"/>
              <w:jc w:val="center"/>
              <w:rPr>
                <w:rFonts w:ascii="Arial" w:hAnsi="Arial" w:cs="Arial"/>
                <w:bCs/>
                <w:sz w:val="18"/>
                <w:szCs w:val="18"/>
              </w:rPr>
            </w:pPr>
            <w:r w:rsidRPr="005F6E02">
              <w:rPr>
                <w:rFonts w:ascii="Arial" w:hAnsi="Arial" w:cs="Arial"/>
                <w:bCs/>
                <w:sz w:val="18"/>
                <w:szCs w:val="18"/>
                <w:lang w:val="en-GB"/>
              </w:rPr>
              <w:t>4</w:t>
            </w:r>
          </w:p>
        </w:tc>
        <w:tc>
          <w:tcPr>
            <w:tcW w:w="756" w:type="pct"/>
            <w:vAlign w:val="center"/>
          </w:tcPr>
          <w:p w14:paraId="023E21D3" w14:textId="0EF1002A" w:rsidR="00AA3121" w:rsidRPr="005F6E02" w:rsidRDefault="00AA3121" w:rsidP="00AA3121">
            <w:pPr>
              <w:spacing w:after="0"/>
              <w:rPr>
                <w:rFonts w:ascii="Arial" w:hAnsi="Arial" w:cs="Arial"/>
                <w:bCs/>
                <w:sz w:val="18"/>
                <w:szCs w:val="18"/>
              </w:rPr>
            </w:pPr>
            <w:r w:rsidRPr="005F6E02">
              <w:rPr>
                <w:rFonts w:ascii="Arial" w:hAnsi="Arial" w:cs="Arial"/>
                <w:bCs/>
                <w:sz w:val="18"/>
                <w:szCs w:val="18"/>
                <w:lang w:val="en-GB"/>
              </w:rPr>
              <w:t>Enrika Tamašauskaitė</w:t>
            </w:r>
          </w:p>
        </w:tc>
        <w:tc>
          <w:tcPr>
            <w:tcW w:w="2255" w:type="pct"/>
            <w:tcMar>
              <w:top w:w="72" w:type="dxa"/>
              <w:left w:w="115" w:type="dxa"/>
              <w:bottom w:w="72" w:type="dxa"/>
              <w:right w:w="115" w:type="dxa"/>
            </w:tcMar>
            <w:vAlign w:val="center"/>
          </w:tcPr>
          <w:p w14:paraId="696CB5F1" w14:textId="77777777" w:rsidR="00AA3121" w:rsidRPr="005F6E02" w:rsidRDefault="00AA3121" w:rsidP="00AA3121">
            <w:pPr>
              <w:spacing w:after="0"/>
              <w:rPr>
                <w:rFonts w:ascii="Arial" w:hAnsi="Arial" w:cs="Arial"/>
                <w:bCs/>
                <w:sz w:val="18"/>
                <w:szCs w:val="18"/>
                <w:lang w:val="en-GB"/>
              </w:rPr>
            </w:pPr>
            <w:r w:rsidRPr="005F6E02">
              <w:rPr>
                <w:rFonts w:ascii="Arial" w:hAnsi="Arial" w:cs="Arial"/>
                <w:bCs/>
                <w:sz w:val="18"/>
                <w:szCs w:val="18"/>
                <w:lang w:val="en-GB"/>
              </w:rPr>
              <w:t>Articles 6.870-6.885 of Lithuanian Civil Code</w:t>
            </w:r>
          </w:p>
          <w:p w14:paraId="0A8CDBAF" w14:textId="77777777" w:rsidR="00AA3121" w:rsidRPr="005F6E02" w:rsidRDefault="00AA3121" w:rsidP="00AA3121">
            <w:pPr>
              <w:spacing w:after="0"/>
              <w:rPr>
                <w:rFonts w:ascii="Arial" w:hAnsi="Arial" w:cs="Arial"/>
                <w:bCs/>
                <w:sz w:val="18"/>
                <w:szCs w:val="18"/>
                <w:lang w:val="en-GB"/>
              </w:rPr>
            </w:pPr>
            <w:r w:rsidRPr="005F6E02">
              <w:rPr>
                <w:rFonts w:ascii="Arial" w:hAnsi="Arial" w:cs="Arial"/>
                <w:bCs/>
                <w:sz w:val="18"/>
                <w:szCs w:val="18"/>
                <w:lang w:val="en-GB"/>
              </w:rPr>
              <w:t>Articles 6.567-6.574 of Lithuanian Civil Code</w:t>
            </w:r>
          </w:p>
          <w:p w14:paraId="58D48916" w14:textId="77777777" w:rsidR="00AA3121" w:rsidRPr="005F6E02" w:rsidRDefault="00AA3121" w:rsidP="00AA3121">
            <w:pPr>
              <w:spacing w:after="0"/>
              <w:rPr>
                <w:rFonts w:ascii="Arial" w:hAnsi="Arial" w:cs="Arial"/>
                <w:bCs/>
                <w:sz w:val="18"/>
                <w:szCs w:val="18"/>
                <w:lang w:val="en-GB"/>
              </w:rPr>
            </w:pPr>
            <w:r w:rsidRPr="005F6E02">
              <w:rPr>
                <w:rFonts w:ascii="Arial" w:hAnsi="Arial" w:cs="Arial"/>
                <w:bCs/>
                <w:sz w:val="18"/>
                <w:szCs w:val="18"/>
                <w:lang w:val="en-GB"/>
              </w:rPr>
              <w:t>Articles 6.903-6.912 of Lithuanian Civil Code</w:t>
            </w:r>
          </w:p>
          <w:p w14:paraId="6C9BF9E4" w14:textId="77777777" w:rsidR="00AA3121" w:rsidRPr="005F6E02" w:rsidRDefault="00AA3121" w:rsidP="00AA3121">
            <w:pPr>
              <w:spacing w:after="0"/>
              <w:rPr>
                <w:rFonts w:ascii="Arial" w:hAnsi="Arial" w:cs="Arial"/>
                <w:bCs/>
                <w:sz w:val="18"/>
                <w:szCs w:val="18"/>
                <w:lang w:val="en-GB"/>
              </w:rPr>
            </w:pPr>
            <w:r w:rsidRPr="005F6E02">
              <w:rPr>
                <w:rFonts w:ascii="Arial" w:hAnsi="Arial" w:cs="Arial"/>
                <w:bCs/>
                <w:sz w:val="18"/>
                <w:szCs w:val="18"/>
                <w:lang w:val="en-GB"/>
              </w:rPr>
              <w:t>Articles 6.70-6.97 of Lithuanian Civil Code</w:t>
            </w:r>
          </w:p>
          <w:p w14:paraId="36CE850F" w14:textId="77777777" w:rsidR="00AA3121" w:rsidRPr="005F6E02" w:rsidRDefault="00AA3121" w:rsidP="00AA3121">
            <w:pPr>
              <w:spacing w:after="0"/>
              <w:rPr>
                <w:rFonts w:ascii="Arial" w:hAnsi="Arial" w:cs="Arial"/>
                <w:bCs/>
                <w:sz w:val="18"/>
                <w:szCs w:val="18"/>
                <w:lang w:val="en-GB"/>
              </w:rPr>
            </w:pPr>
          </w:p>
          <w:p w14:paraId="2BD35336" w14:textId="77777777" w:rsidR="00AA3121" w:rsidRPr="005F6E02" w:rsidRDefault="00AA3121" w:rsidP="00AA3121">
            <w:pPr>
              <w:spacing w:after="0"/>
              <w:rPr>
                <w:rFonts w:ascii="Arial" w:hAnsi="Arial" w:cs="Arial"/>
                <w:bCs/>
                <w:sz w:val="18"/>
                <w:szCs w:val="18"/>
                <w:lang w:val="en-GB"/>
              </w:rPr>
            </w:pPr>
            <w:r w:rsidRPr="0058506B">
              <w:rPr>
                <w:rFonts w:ascii="Arial" w:hAnsi="Arial" w:cs="Arial"/>
                <w:bCs/>
                <w:sz w:val="18"/>
                <w:szCs w:val="18"/>
                <w:u w:val="single"/>
                <w:lang w:val="en-GB"/>
              </w:rPr>
              <w:t>Optional</w:t>
            </w:r>
            <w:r w:rsidRPr="005F6E02">
              <w:rPr>
                <w:rFonts w:ascii="Arial" w:hAnsi="Arial" w:cs="Arial"/>
                <w:bCs/>
                <w:sz w:val="18"/>
                <w:szCs w:val="18"/>
                <w:lang w:val="en-GB"/>
              </w:rPr>
              <w:t xml:space="preserve">: </w:t>
            </w:r>
          </w:p>
          <w:p w14:paraId="05320513" w14:textId="0D218C4D" w:rsidR="00AA3121" w:rsidRPr="0073580A" w:rsidRDefault="0097185F" w:rsidP="00AA3121">
            <w:pPr>
              <w:spacing w:after="0"/>
              <w:rPr>
                <w:rFonts w:ascii="Arial" w:hAnsi="Arial" w:cs="Arial"/>
                <w:bCs/>
                <w:sz w:val="18"/>
                <w:szCs w:val="18"/>
              </w:rPr>
            </w:pPr>
            <w:hyperlink r:id="rId11" w:history="1">
              <w:r w:rsidR="00AA3121" w:rsidRPr="005F6E02">
                <w:rPr>
                  <w:rStyle w:val="Hyperlink"/>
                  <w:rFonts w:ascii="Arial" w:hAnsi="Arial" w:cs="Arial"/>
                  <w:bCs/>
                  <w:sz w:val="18"/>
                  <w:szCs w:val="18"/>
                  <w:lang w:val="en-GB"/>
                </w:rPr>
                <w:t>www.euromoney.com</w:t>
              </w:r>
            </w:hyperlink>
            <w:r w:rsidR="00AA3121" w:rsidRPr="005F6E02">
              <w:rPr>
                <w:rFonts w:ascii="Arial" w:hAnsi="Arial" w:cs="Arial"/>
                <w:bCs/>
                <w:sz w:val="18"/>
                <w:szCs w:val="18"/>
                <w:lang w:val="en-GB"/>
              </w:rPr>
              <w:t xml:space="preserve"> (precise references to be provided during the course)</w:t>
            </w:r>
          </w:p>
        </w:tc>
      </w:tr>
      <w:tr w:rsidR="005F38E9" w:rsidRPr="00A36B9C" w14:paraId="2A77CE1A" w14:textId="77777777" w:rsidTr="00D426E5">
        <w:trPr>
          <w:trHeight w:val="312"/>
        </w:trPr>
        <w:tc>
          <w:tcPr>
            <w:tcW w:w="1621" w:type="pct"/>
            <w:tcMar>
              <w:top w:w="72" w:type="dxa"/>
              <w:left w:w="115" w:type="dxa"/>
              <w:bottom w:w="72" w:type="dxa"/>
              <w:right w:w="115" w:type="dxa"/>
            </w:tcMar>
            <w:vAlign w:val="center"/>
          </w:tcPr>
          <w:p w14:paraId="4E958201" w14:textId="7E847719" w:rsidR="009F71E3" w:rsidRPr="00A36B9C" w:rsidRDefault="009F71E3" w:rsidP="009F71E3">
            <w:pPr>
              <w:pStyle w:val="ListParagraph"/>
              <w:numPr>
                <w:ilvl w:val="0"/>
                <w:numId w:val="31"/>
              </w:numPr>
              <w:spacing w:after="0"/>
              <w:ind w:left="447" w:hanging="425"/>
              <w:rPr>
                <w:rFonts w:ascii="Arial" w:hAnsi="Arial" w:cs="Arial"/>
                <w:sz w:val="18"/>
                <w:szCs w:val="18"/>
                <w:lang w:val="en-GB"/>
              </w:rPr>
            </w:pPr>
            <w:r>
              <w:rPr>
                <w:rFonts w:ascii="Arial" w:hAnsi="Arial" w:cs="Arial"/>
                <w:b/>
                <w:bCs/>
                <w:sz w:val="18"/>
                <w:szCs w:val="18"/>
                <w:lang w:val="en-GB"/>
              </w:rPr>
              <w:t xml:space="preserve">Financial market and its regulation. </w:t>
            </w:r>
            <w:r>
              <w:rPr>
                <w:rFonts w:ascii="Arial" w:hAnsi="Arial" w:cs="Arial"/>
                <w:sz w:val="18"/>
                <w:szCs w:val="18"/>
                <w:lang w:val="en-GB"/>
              </w:rPr>
              <w:t xml:space="preserve">Types of financial market participants. Regulated and non-regulated financial </w:t>
            </w:r>
            <w:r>
              <w:rPr>
                <w:rFonts w:ascii="Arial" w:hAnsi="Arial" w:cs="Arial"/>
                <w:sz w:val="18"/>
                <w:szCs w:val="18"/>
                <w:lang w:val="en-GB"/>
              </w:rPr>
              <w:lastRenderedPageBreak/>
              <w:t xml:space="preserve">services / financial market participants. Payments. Bank account vs. payment account. Virtual assets. Requirements for financial market participant‘s managers and key functions holders. Liability for infringements of set requirements. Duties and functions of the Bank of Lithuania and other institutions. </w:t>
            </w:r>
          </w:p>
        </w:tc>
        <w:tc>
          <w:tcPr>
            <w:tcW w:w="368" w:type="pct"/>
            <w:tcMar>
              <w:top w:w="72" w:type="dxa"/>
              <w:left w:w="115" w:type="dxa"/>
              <w:bottom w:w="72" w:type="dxa"/>
              <w:right w:w="115" w:type="dxa"/>
            </w:tcMar>
            <w:vAlign w:val="center"/>
          </w:tcPr>
          <w:p w14:paraId="700524BB" w14:textId="579751F0" w:rsidR="009F71E3" w:rsidRPr="00A36B9C" w:rsidRDefault="009F71E3" w:rsidP="009F71E3">
            <w:pPr>
              <w:spacing w:after="0"/>
              <w:jc w:val="center"/>
              <w:rPr>
                <w:rFonts w:ascii="Arial" w:hAnsi="Arial" w:cs="Arial"/>
                <w:bCs/>
                <w:sz w:val="18"/>
                <w:szCs w:val="18"/>
                <w:lang w:val="en-GB"/>
              </w:rPr>
            </w:pPr>
            <w:r>
              <w:rPr>
                <w:rFonts w:ascii="Arial" w:hAnsi="Arial" w:cs="Arial"/>
                <w:sz w:val="18"/>
                <w:szCs w:val="18"/>
                <w:lang w:val="en-GB"/>
              </w:rPr>
              <w:lastRenderedPageBreak/>
              <w:t>4</w:t>
            </w:r>
          </w:p>
        </w:tc>
        <w:tc>
          <w:tcPr>
            <w:tcW w:w="756" w:type="pct"/>
            <w:vAlign w:val="center"/>
          </w:tcPr>
          <w:p w14:paraId="4EC1738F" w14:textId="27C73491" w:rsidR="009F71E3" w:rsidRPr="00A36B9C" w:rsidRDefault="009F71E3" w:rsidP="009F71E3">
            <w:pPr>
              <w:spacing w:after="0"/>
              <w:rPr>
                <w:rFonts w:ascii="Arial" w:hAnsi="Arial" w:cs="Arial"/>
                <w:bCs/>
                <w:sz w:val="18"/>
                <w:szCs w:val="18"/>
                <w:lang w:val="en-GB"/>
              </w:rPr>
            </w:pPr>
            <w:r>
              <w:rPr>
                <w:rFonts w:ascii="Arial" w:hAnsi="Arial" w:cs="Arial"/>
                <w:sz w:val="18"/>
                <w:szCs w:val="18"/>
                <w:lang w:val="en-GB"/>
              </w:rPr>
              <w:t>Simona Vosylienė</w:t>
            </w:r>
          </w:p>
        </w:tc>
        <w:tc>
          <w:tcPr>
            <w:tcW w:w="2255" w:type="pct"/>
            <w:tcMar>
              <w:top w:w="72" w:type="dxa"/>
              <w:left w:w="115" w:type="dxa"/>
              <w:bottom w:w="72" w:type="dxa"/>
              <w:right w:w="115" w:type="dxa"/>
            </w:tcMar>
            <w:vAlign w:val="center"/>
          </w:tcPr>
          <w:p w14:paraId="01E211B2" w14:textId="77777777" w:rsidR="00D426E5" w:rsidRDefault="00D426E5" w:rsidP="00D426E5">
            <w:pPr>
              <w:spacing w:after="0"/>
              <w:rPr>
                <w:rFonts w:ascii="Arial" w:hAnsi="Arial" w:cs="Arial"/>
                <w:sz w:val="18"/>
                <w:szCs w:val="18"/>
                <w:lang w:val="en-GB"/>
              </w:rPr>
            </w:pPr>
            <w:r w:rsidRPr="00D426E5">
              <w:rPr>
                <w:rFonts w:ascii="Arial" w:hAnsi="Arial" w:cs="Arial"/>
                <w:sz w:val="18"/>
                <w:szCs w:val="18"/>
                <w:lang w:val="en-GB"/>
              </w:rPr>
              <w:t xml:space="preserve">Articles 2(7), 2(24), 2(26), 3 and 4(1) of Lithuanian Law on Financial Institutions. </w:t>
            </w:r>
          </w:p>
          <w:p w14:paraId="5A746B9E" w14:textId="27BC67AD" w:rsidR="009F71E3" w:rsidRDefault="00D426E5" w:rsidP="00D426E5">
            <w:pPr>
              <w:spacing w:after="0"/>
              <w:rPr>
                <w:rFonts w:ascii="Arial" w:hAnsi="Arial" w:cs="Arial"/>
                <w:sz w:val="18"/>
                <w:szCs w:val="18"/>
                <w:lang w:val="en-GB"/>
              </w:rPr>
            </w:pPr>
            <w:r w:rsidRPr="00D426E5">
              <w:rPr>
                <w:rFonts w:ascii="Arial" w:hAnsi="Arial" w:cs="Arial"/>
                <w:sz w:val="18"/>
                <w:szCs w:val="18"/>
                <w:lang w:val="en-GB"/>
              </w:rPr>
              <w:t>Articles 2(6), 2(24), 2(27) and 5 of Lithuanian Law on Payments</w:t>
            </w:r>
            <w:r w:rsidR="009F71E3">
              <w:rPr>
                <w:rFonts w:ascii="Arial" w:hAnsi="Arial" w:cs="Arial"/>
                <w:sz w:val="18"/>
                <w:szCs w:val="18"/>
                <w:lang w:val="en-GB"/>
              </w:rPr>
              <w:t>.</w:t>
            </w:r>
          </w:p>
          <w:p w14:paraId="3F517273" w14:textId="77777777" w:rsidR="009F71E3" w:rsidRDefault="009F71E3" w:rsidP="009F71E3">
            <w:pPr>
              <w:spacing w:after="0"/>
              <w:rPr>
                <w:rFonts w:ascii="Arial" w:hAnsi="Arial" w:cs="Arial"/>
                <w:sz w:val="18"/>
                <w:szCs w:val="18"/>
                <w:lang w:val="en-GB"/>
              </w:rPr>
            </w:pPr>
          </w:p>
          <w:p w14:paraId="32A08EC1" w14:textId="77777777" w:rsidR="009F71E3" w:rsidRDefault="009F71E3" w:rsidP="009F71E3">
            <w:pPr>
              <w:spacing w:after="0"/>
              <w:rPr>
                <w:rFonts w:ascii="Arial" w:hAnsi="Arial" w:cs="Arial"/>
                <w:sz w:val="18"/>
                <w:szCs w:val="18"/>
                <w:lang w:val="en-GB"/>
              </w:rPr>
            </w:pPr>
            <w:r w:rsidRPr="0058506B">
              <w:rPr>
                <w:rFonts w:ascii="Arial" w:hAnsi="Arial" w:cs="Arial"/>
                <w:sz w:val="18"/>
                <w:szCs w:val="18"/>
                <w:u w:val="single"/>
                <w:lang w:val="en-GB"/>
              </w:rPr>
              <w:t>Optional</w:t>
            </w:r>
            <w:r>
              <w:rPr>
                <w:rFonts w:ascii="Arial" w:hAnsi="Arial" w:cs="Arial"/>
                <w:sz w:val="18"/>
                <w:szCs w:val="18"/>
                <w:lang w:val="en-GB"/>
              </w:rPr>
              <w:t>:</w:t>
            </w:r>
          </w:p>
          <w:p w14:paraId="105F1365" w14:textId="549147F2" w:rsidR="009F71E3" w:rsidRPr="00A36B9C" w:rsidRDefault="009F71E3" w:rsidP="009F71E3">
            <w:pPr>
              <w:spacing w:after="0"/>
              <w:rPr>
                <w:rFonts w:ascii="Arial" w:hAnsi="Arial" w:cs="Arial"/>
                <w:bCs/>
                <w:sz w:val="18"/>
                <w:szCs w:val="18"/>
                <w:lang w:val="en-GB"/>
              </w:rPr>
            </w:pPr>
            <w:r>
              <w:rPr>
                <w:rFonts w:ascii="Arial" w:hAnsi="Arial" w:cs="Arial"/>
                <w:sz w:val="18"/>
                <w:szCs w:val="18"/>
                <w:lang w:val="en-GB"/>
              </w:rPr>
              <w:t xml:space="preserve">Readings available on the website of the Bank of Lithuania: </w:t>
            </w:r>
            <w:hyperlink r:id="rId12" w:history="1">
              <w:r>
                <w:rPr>
                  <w:rStyle w:val="Hyperlink"/>
                  <w:rFonts w:ascii="Arial" w:hAnsi="Arial" w:cs="Arial"/>
                  <w:sz w:val="18"/>
                  <w:szCs w:val="18"/>
                  <w:lang w:val="en-GB"/>
                </w:rPr>
                <w:t>www.lb.lt</w:t>
              </w:r>
            </w:hyperlink>
            <w:r>
              <w:rPr>
                <w:rFonts w:ascii="Arial" w:hAnsi="Arial" w:cs="Arial"/>
                <w:sz w:val="18"/>
                <w:szCs w:val="18"/>
                <w:lang w:val="en-GB"/>
              </w:rPr>
              <w:t>.  </w:t>
            </w:r>
          </w:p>
        </w:tc>
      </w:tr>
      <w:tr w:rsidR="005F38E9" w:rsidRPr="0073580A" w14:paraId="1A2C45DD" w14:textId="77777777" w:rsidTr="00D426E5">
        <w:trPr>
          <w:trHeight w:val="312"/>
        </w:trPr>
        <w:tc>
          <w:tcPr>
            <w:tcW w:w="1621" w:type="pct"/>
            <w:tcMar>
              <w:top w:w="72" w:type="dxa"/>
              <w:left w:w="115" w:type="dxa"/>
              <w:bottom w:w="72" w:type="dxa"/>
              <w:right w:w="115" w:type="dxa"/>
            </w:tcMar>
            <w:vAlign w:val="center"/>
          </w:tcPr>
          <w:p w14:paraId="4EE0145A" w14:textId="07222F64" w:rsidR="00996F09" w:rsidRPr="00996F09" w:rsidRDefault="00996F09" w:rsidP="00996F09">
            <w:pPr>
              <w:pStyle w:val="ListParagraph"/>
              <w:numPr>
                <w:ilvl w:val="0"/>
                <w:numId w:val="31"/>
              </w:numPr>
              <w:spacing w:after="0"/>
              <w:ind w:left="447" w:hanging="425"/>
              <w:rPr>
                <w:rFonts w:ascii="Arial" w:hAnsi="Arial" w:cs="Arial"/>
                <w:sz w:val="18"/>
                <w:szCs w:val="18"/>
                <w:u w:val="single"/>
              </w:rPr>
            </w:pPr>
            <w:r w:rsidRPr="00996F09">
              <w:rPr>
                <w:rFonts w:ascii="Arial" w:hAnsi="Arial" w:cs="Arial"/>
                <w:b/>
                <w:bCs/>
                <w:sz w:val="18"/>
                <w:szCs w:val="18"/>
                <w:lang w:val="en-GB"/>
              </w:rPr>
              <w:lastRenderedPageBreak/>
              <w:t xml:space="preserve">Lithuanian </w:t>
            </w:r>
            <w:r w:rsidR="009F71E3">
              <w:rPr>
                <w:rFonts w:ascii="Arial" w:hAnsi="Arial" w:cs="Arial"/>
                <w:b/>
                <w:bCs/>
                <w:sz w:val="18"/>
                <w:szCs w:val="18"/>
                <w:lang w:val="en-GB"/>
              </w:rPr>
              <w:t>t</w:t>
            </w:r>
            <w:r w:rsidRPr="00996F09">
              <w:rPr>
                <w:rFonts w:ascii="Arial" w:hAnsi="Arial" w:cs="Arial"/>
                <w:b/>
                <w:bCs/>
                <w:sz w:val="18"/>
                <w:szCs w:val="18"/>
                <w:lang w:val="en-GB"/>
              </w:rPr>
              <w:t xml:space="preserve">ax system. </w:t>
            </w:r>
            <w:r w:rsidRPr="00996F09">
              <w:rPr>
                <w:rFonts w:ascii="Arial" w:hAnsi="Arial" w:cs="Arial"/>
                <w:sz w:val="18"/>
                <w:szCs w:val="18"/>
                <w:lang w:val="en-GB"/>
              </w:rPr>
              <w:t xml:space="preserve"> Taxation and requirements for common forms of business. Tax-free allowances and special benefits. Permanent establishment for </w:t>
            </w:r>
            <w:r>
              <w:rPr>
                <w:rFonts w:ascii="Arial" w:hAnsi="Arial" w:cs="Arial"/>
                <w:sz w:val="18"/>
                <w:szCs w:val="18"/>
                <w:lang w:val="en-GB"/>
              </w:rPr>
              <w:t>tax purposes</w:t>
            </w:r>
            <w:r w:rsidRPr="00996F09">
              <w:rPr>
                <w:rFonts w:ascii="Arial" w:hAnsi="Arial" w:cs="Arial"/>
                <w:sz w:val="18"/>
                <w:szCs w:val="18"/>
                <w:lang w:val="en-GB"/>
              </w:rPr>
              <w:t xml:space="preserve">. </w:t>
            </w:r>
            <w:r>
              <w:rPr>
                <w:rFonts w:ascii="Arial" w:hAnsi="Arial" w:cs="Arial"/>
                <w:sz w:val="18"/>
                <w:szCs w:val="18"/>
                <w:lang w:val="en-GB"/>
              </w:rPr>
              <w:t>T</w:t>
            </w:r>
            <w:r w:rsidRPr="00996F09">
              <w:rPr>
                <w:rFonts w:ascii="Arial" w:hAnsi="Arial" w:cs="Arial"/>
                <w:sz w:val="18"/>
                <w:szCs w:val="18"/>
                <w:lang w:val="en-GB"/>
              </w:rPr>
              <w:t xml:space="preserve">axation of employees. </w:t>
            </w:r>
          </w:p>
        </w:tc>
        <w:tc>
          <w:tcPr>
            <w:tcW w:w="368" w:type="pct"/>
            <w:tcMar>
              <w:top w:w="72" w:type="dxa"/>
              <w:left w:w="115" w:type="dxa"/>
              <w:bottom w:w="72" w:type="dxa"/>
              <w:right w:w="115" w:type="dxa"/>
            </w:tcMar>
            <w:vAlign w:val="center"/>
          </w:tcPr>
          <w:p w14:paraId="25EAE2C7" w14:textId="3C4F9694" w:rsidR="00996F09" w:rsidRPr="00996F09" w:rsidRDefault="00996F09" w:rsidP="00996F09">
            <w:pPr>
              <w:spacing w:after="0"/>
              <w:jc w:val="center"/>
              <w:rPr>
                <w:rFonts w:ascii="Arial" w:hAnsi="Arial" w:cs="Arial"/>
                <w:bCs/>
                <w:sz w:val="18"/>
                <w:szCs w:val="18"/>
              </w:rPr>
            </w:pPr>
            <w:r w:rsidRPr="00996F09">
              <w:rPr>
                <w:rFonts w:ascii="Arial" w:hAnsi="Arial" w:cs="Arial"/>
                <w:bCs/>
                <w:sz w:val="18"/>
                <w:szCs w:val="18"/>
                <w:lang w:val="en-GB"/>
              </w:rPr>
              <w:t>4</w:t>
            </w:r>
          </w:p>
        </w:tc>
        <w:tc>
          <w:tcPr>
            <w:tcW w:w="756" w:type="pct"/>
            <w:vAlign w:val="center"/>
          </w:tcPr>
          <w:p w14:paraId="02018C6A" w14:textId="2CE96219" w:rsidR="00996F09" w:rsidRPr="00996F09" w:rsidRDefault="00996F09" w:rsidP="00996F09">
            <w:pPr>
              <w:spacing w:after="0"/>
              <w:rPr>
                <w:rFonts w:ascii="Arial" w:hAnsi="Arial" w:cs="Arial"/>
                <w:bCs/>
                <w:sz w:val="18"/>
                <w:szCs w:val="18"/>
              </w:rPr>
            </w:pPr>
            <w:r w:rsidRPr="00996F09">
              <w:rPr>
                <w:rFonts w:ascii="Arial" w:hAnsi="Arial" w:cs="Arial"/>
                <w:bCs/>
                <w:sz w:val="18"/>
                <w:szCs w:val="18"/>
                <w:lang w:val="en-GB"/>
              </w:rPr>
              <w:t>Alma Marcinkutė</w:t>
            </w:r>
          </w:p>
        </w:tc>
        <w:tc>
          <w:tcPr>
            <w:tcW w:w="2255" w:type="pct"/>
            <w:shd w:val="clear" w:color="auto" w:fill="auto"/>
            <w:tcMar>
              <w:top w:w="72" w:type="dxa"/>
              <w:left w:w="115" w:type="dxa"/>
              <w:bottom w:w="72" w:type="dxa"/>
              <w:right w:w="115" w:type="dxa"/>
            </w:tcMar>
            <w:vAlign w:val="center"/>
          </w:tcPr>
          <w:p w14:paraId="14540570" w14:textId="77777777" w:rsidR="00996F09" w:rsidRPr="00996F09" w:rsidRDefault="00996F09" w:rsidP="00996F09">
            <w:pPr>
              <w:spacing w:after="0"/>
              <w:rPr>
                <w:rFonts w:ascii="Arial" w:hAnsi="Arial" w:cs="Arial"/>
                <w:bCs/>
                <w:sz w:val="18"/>
                <w:szCs w:val="18"/>
                <w:lang w:val="en-GB"/>
              </w:rPr>
            </w:pPr>
            <w:r w:rsidRPr="00996F09">
              <w:rPr>
                <w:rFonts w:ascii="Arial" w:hAnsi="Arial" w:cs="Arial"/>
                <w:bCs/>
                <w:sz w:val="18"/>
                <w:szCs w:val="18"/>
                <w:lang w:val="en-GB"/>
              </w:rPr>
              <w:t xml:space="preserve">Slides provided during the lecture. </w:t>
            </w:r>
          </w:p>
          <w:p w14:paraId="76614C56" w14:textId="77777777" w:rsidR="00996F09" w:rsidRPr="00996F09" w:rsidRDefault="00996F09" w:rsidP="00996F09">
            <w:pPr>
              <w:spacing w:after="0"/>
              <w:rPr>
                <w:rFonts w:ascii="Arial" w:hAnsi="Arial" w:cs="Arial"/>
                <w:bCs/>
                <w:sz w:val="18"/>
                <w:szCs w:val="18"/>
                <w:lang w:val="en-GB"/>
              </w:rPr>
            </w:pPr>
          </w:p>
          <w:p w14:paraId="0DBA775B" w14:textId="77777777" w:rsidR="00996F09" w:rsidRPr="00996F09" w:rsidRDefault="00996F09" w:rsidP="00996F09">
            <w:pPr>
              <w:spacing w:after="0"/>
              <w:rPr>
                <w:rFonts w:ascii="Arial" w:hAnsi="Arial" w:cs="Arial"/>
                <w:bCs/>
                <w:sz w:val="18"/>
                <w:szCs w:val="18"/>
                <w:lang w:val="en-GB"/>
              </w:rPr>
            </w:pPr>
            <w:r w:rsidRPr="0058506B">
              <w:rPr>
                <w:rFonts w:ascii="Arial" w:hAnsi="Arial" w:cs="Arial"/>
                <w:bCs/>
                <w:sz w:val="18"/>
                <w:szCs w:val="18"/>
                <w:u w:val="single"/>
                <w:lang w:val="en-GB"/>
              </w:rPr>
              <w:t>Optional</w:t>
            </w:r>
            <w:r w:rsidRPr="00996F09">
              <w:rPr>
                <w:rFonts w:ascii="Arial" w:hAnsi="Arial" w:cs="Arial"/>
                <w:bCs/>
                <w:sz w:val="18"/>
                <w:szCs w:val="18"/>
                <w:lang w:val="en-GB"/>
              </w:rPr>
              <w:t>:</w:t>
            </w:r>
          </w:p>
          <w:p w14:paraId="45819821" w14:textId="77777777" w:rsidR="00996F09" w:rsidRPr="00996F09" w:rsidRDefault="00996F09" w:rsidP="00996F09">
            <w:pPr>
              <w:spacing w:after="0"/>
              <w:rPr>
                <w:rFonts w:ascii="Arial" w:hAnsi="Arial" w:cs="Arial"/>
                <w:sz w:val="18"/>
                <w:szCs w:val="18"/>
              </w:rPr>
            </w:pPr>
            <w:r w:rsidRPr="00996F09">
              <w:rPr>
                <w:rFonts w:ascii="Arial" w:hAnsi="Arial" w:cs="Arial"/>
                <w:bCs/>
                <w:i/>
                <w:iCs/>
                <w:sz w:val="18"/>
                <w:szCs w:val="18"/>
                <w:lang w:val="en-GB"/>
              </w:rPr>
              <w:t>IBFD</w:t>
            </w:r>
            <w:r w:rsidRPr="00996F09">
              <w:rPr>
                <w:rFonts w:ascii="Arial" w:hAnsi="Arial" w:cs="Arial"/>
                <w:bCs/>
                <w:sz w:val="18"/>
                <w:szCs w:val="18"/>
                <w:lang w:val="en-GB"/>
              </w:rPr>
              <w:t xml:space="preserve"> “</w:t>
            </w:r>
            <w:r w:rsidRPr="00996F09">
              <w:rPr>
                <w:rFonts w:ascii="Arial" w:hAnsi="Arial" w:cs="Arial"/>
                <w:sz w:val="18"/>
                <w:szCs w:val="18"/>
              </w:rPr>
              <w:t xml:space="preserve">Key Tax Features of Member Countries”; </w:t>
            </w:r>
          </w:p>
          <w:p w14:paraId="3F0ABE1D" w14:textId="17B5FB10" w:rsidR="00996F09" w:rsidRPr="00996F09" w:rsidRDefault="00996F09" w:rsidP="00996F09">
            <w:pPr>
              <w:spacing w:after="0"/>
              <w:rPr>
                <w:rFonts w:ascii="Arial" w:hAnsi="Arial" w:cs="Arial"/>
                <w:bCs/>
                <w:sz w:val="18"/>
                <w:szCs w:val="18"/>
              </w:rPr>
            </w:pPr>
            <w:r w:rsidRPr="00996F09">
              <w:rPr>
                <w:rFonts w:ascii="Arial" w:hAnsi="Arial" w:cs="Arial"/>
                <w:bCs/>
                <w:i/>
                <w:iCs/>
                <w:sz w:val="18"/>
                <w:szCs w:val="18"/>
                <w:lang w:val="en-GB"/>
              </w:rPr>
              <w:t>IBFD</w:t>
            </w:r>
            <w:r w:rsidRPr="00996F09">
              <w:rPr>
                <w:rFonts w:ascii="Arial" w:hAnsi="Arial" w:cs="Arial"/>
                <w:bCs/>
                <w:sz w:val="18"/>
                <w:szCs w:val="18"/>
                <w:lang w:val="en-GB"/>
              </w:rPr>
              <w:t xml:space="preserve"> “</w:t>
            </w:r>
            <w:r w:rsidRPr="00996F09">
              <w:rPr>
                <w:rFonts w:ascii="Arial" w:hAnsi="Arial" w:cs="Arial"/>
                <w:sz w:val="18"/>
                <w:szCs w:val="18"/>
              </w:rPr>
              <w:t>OECD Model Tax Convention on Income and on Capital”.</w:t>
            </w:r>
          </w:p>
        </w:tc>
      </w:tr>
      <w:tr w:rsidR="005F38E9" w:rsidRPr="0032580D" w14:paraId="7E22E191" w14:textId="77777777" w:rsidTr="00D426E5">
        <w:trPr>
          <w:trHeight w:val="312"/>
        </w:trPr>
        <w:tc>
          <w:tcPr>
            <w:tcW w:w="1621" w:type="pct"/>
            <w:tcMar>
              <w:top w:w="72" w:type="dxa"/>
              <w:left w:w="115" w:type="dxa"/>
              <w:bottom w:w="72" w:type="dxa"/>
              <w:right w:w="115" w:type="dxa"/>
            </w:tcMar>
            <w:vAlign w:val="center"/>
          </w:tcPr>
          <w:p w14:paraId="014E2493" w14:textId="532BDE5D" w:rsidR="00C72F62" w:rsidRPr="0032580D" w:rsidRDefault="00C72F62" w:rsidP="00C72F62">
            <w:pPr>
              <w:pStyle w:val="ListParagraph"/>
              <w:numPr>
                <w:ilvl w:val="0"/>
                <w:numId w:val="31"/>
              </w:numPr>
              <w:spacing w:after="0"/>
              <w:ind w:left="447" w:hanging="425"/>
              <w:rPr>
                <w:rFonts w:ascii="Arial" w:hAnsi="Arial" w:cs="Arial"/>
                <w:sz w:val="18"/>
                <w:szCs w:val="18"/>
                <w:u w:val="single"/>
                <w:lang w:val="en-GB"/>
              </w:rPr>
            </w:pPr>
            <w:r>
              <w:rPr>
                <w:rFonts w:ascii="Arial" w:hAnsi="Arial" w:cs="Arial"/>
                <w:b/>
                <w:bCs/>
                <w:sz w:val="18"/>
                <w:szCs w:val="18"/>
                <w:lang w:val="en-GB"/>
              </w:rPr>
              <w:t xml:space="preserve">Corporate transactions. </w:t>
            </w:r>
            <w:r w:rsidRPr="00DA17CD">
              <w:rPr>
                <w:rFonts w:ascii="Arial" w:hAnsi="Arial" w:cs="Arial"/>
                <w:sz w:val="18"/>
                <w:szCs w:val="18"/>
                <w:lang w:val="en-GB"/>
              </w:rPr>
              <w:t>Mergers and acquisitions</w:t>
            </w:r>
            <w:r w:rsidR="00904B67">
              <w:rPr>
                <w:rFonts w:ascii="Arial" w:hAnsi="Arial" w:cs="Arial"/>
                <w:sz w:val="18"/>
                <w:szCs w:val="18"/>
                <w:lang w:val="en-GB"/>
              </w:rPr>
              <w:t xml:space="preserve">: process and key terms. </w:t>
            </w:r>
            <w:r>
              <w:rPr>
                <w:rFonts w:ascii="Arial" w:hAnsi="Arial" w:cs="Arial"/>
                <w:sz w:val="18"/>
                <w:szCs w:val="18"/>
                <w:lang w:val="en-GB"/>
              </w:rPr>
              <w:t xml:space="preserve"> Joint-ventures and shareholders agreements.</w:t>
            </w:r>
            <w:r w:rsidRPr="00DA17CD">
              <w:rPr>
                <w:rFonts w:ascii="Arial" w:hAnsi="Arial" w:cs="Arial"/>
                <w:sz w:val="18"/>
                <w:szCs w:val="18"/>
                <w:lang w:val="en-GB"/>
              </w:rPr>
              <w:t xml:space="preserve"> </w:t>
            </w:r>
            <w:r w:rsidR="007849F0">
              <w:rPr>
                <w:rFonts w:ascii="Arial" w:hAnsi="Arial" w:cs="Arial"/>
                <w:sz w:val="18"/>
                <w:szCs w:val="18"/>
                <w:lang w:val="en-GB"/>
              </w:rPr>
              <w:t xml:space="preserve">Private equity. </w:t>
            </w:r>
            <w:r w:rsidRPr="00DA17CD">
              <w:rPr>
                <w:rFonts w:ascii="Arial" w:hAnsi="Arial" w:cs="Arial"/>
                <w:sz w:val="18"/>
                <w:szCs w:val="18"/>
                <w:lang w:val="en-GB"/>
              </w:rPr>
              <w:t>Venture capital and start-up financing</w:t>
            </w:r>
            <w:r w:rsidR="00904B67">
              <w:rPr>
                <w:rFonts w:ascii="Arial" w:hAnsi="Arial" w:cs="Arial"/>
                <w:sz w:val="18"/>
                <w:szCs w:val="18"/>
                <w:lang w:val="en-GB"/>
              </w:rPr>
              <w:t>.</w:t>
            </w:r>
          </w:p>
        </w:tc>
        <w:tc>
          <w:tcPr>
            <w:tcW w:w="368" w:type="pct"/>
            <w:tcMar>
              <w:top w:w="72" w:type="dxa"/>
              <w:left w:w="115" w:type="dxa"/>
              <w:bottom w:w="72" w:type="dxa"/>
              <w:right w:w="115" w:type="dxa"/>
            </w:tcMar>
            <w:vAlign w:val="center"/>
          </w:tcPr>
          <w:p w14:paraId="2E34637F" w14:textId="15A35730" w:rsidR="00C72F62" w:rsidRPr="0032580D" w:rsidRDefault="00C72F62" w:rsidP="00C72F62">
            <w:pPr>
              <w:spacing w:after="0"/>
              <w:jc w:val="center"/>
              <w:rPr>
                <w:rFonts w:ascii="Arial" w:hAnsi="Arial" w:cs="Arial"/>
                <w:bCs/>
                <w:sz w:val="18"/>
                <w:szCs w:val="18"/>
                <w:lang w:val="en-GB"/>
              </w:rPr>
            </w:pPr>
            <w:r w:rsidRPr="0032580D">
              <w:rPr>
                <w:rFonts w:ascii="Arial" w:hAnsi="Arial" w:cs="Arial"/>
                <w:bCs/>
                <w:sz w:val="18"/>
                <w:szCs w:val="18"/>
                <w:lang w:val="en-GB"/>
              </w:rPr>
              <w:t>4</w:t>
            </w:r>
          </w:p>
        </w:tc>
        <w:tc>
          <w:tcPr>
            <w:tcW w:w="756" w:type="pct"/>
            <w:vAlign w:val="center"/>
          </w:tcPr>
          <w:p w14:paraId="5B20C66E" w14:textId="02599394" w:rsidR="00C72F62" w:rsidRPr="00C72F62" w:rsidRDefault="00C72F62" w:rsidP="00C72F62">
            <w:pPr>
              <w:spacing w:after="0"/>
              <w:rPr>
                <w:rFonts w:ascii="Arial" w:hAnsi="Arial" w:cs="Arial"/>
                <w:bCs/>
                <w:sz w:val="18"/>
                <w:szCs w:val="18"/>
                <w:lang w:val="en-GB"/>
              </w:rPr>
            </w:pPr>
            <w:r w:rsidRPr="00C72F62">
              <w:rPr>
                <w:rFonts w:ascii="Arial" w:hAnsi="Arial" w:cs="Arial"/>
                <w:bCs/>
                <w:sz w:val="18"/>
                <w:szCs w:val="18"/>
                <w:lang w:val="en-GB"/>
              </w:rPr>
              <w:t>Andrius Ivanauskas</w:t>
            </w:r>
          </w:p>
        </w:tc>
        <w:tc>
          <w:tcPr>
            <w:tcW w:w="2255" w:type="pct"/>
            <w:tcMar>
              <w:top w:w="72" w:type="dxa"/>
              <w:left w:w="115" w:type="dxa"/>
              <w:bottom w:w="72" w:type="dxa"/>
              <w:right w:w="115" w:type="dxa"/>
            </w:tcMar>
            <w:vAlign w:val="center"/>
          </w:tcPr>
          <w:p w14:paraId="06A9EEF3" w14:textId="2E68953A" w:rsidR="00C72F62" w:rsidRDefault="00C72F62" w:rsidP="00C72F62">
            <w:pPr>
              <w:spacing w:after="0"/>
              <w:rPr>
                <w:rFonts w:ascii="Arial" w:hAnsi="Arial" w:cs="Arial"/>
                <w:bCs/>
                <w:sz w:val="18"/>
                <w:szCs w:val="18"/>
                <w:lang w:val="en-GB"/>
              </w:rPr>
            </w:pPr>
            <w:r>
              <w:rPr>
                <w:rFonts w:ascii="Arial" w:hAnsi="Arial" w:cs="Arial"/>
                <w:bCs/>
                <w:sz w:val="18"/>
                <w:szCs w:val="18"/>
                <w:lang w:val="en-GB"/>
              </w:rPr>
              <w:t>Company acquisition term sheet (to be provided)</w:t>
            </w:r>
          </w:p>
          <w:p w14:paraId="35FDB70C" w14:textId="61641B5A" w:rsidR="00C72F62" w:rsidRDefault="00C72F62" w:rsidP="00C72F62">
            <w:pPr>
              <w:spacing w:after="0"/>
              <w:rPr>
                <w:rFonts w:ascii="Arial" w:hAnsi="Arial" w:cs="Arial"/>
                <w:bCs/>
                <w:sz w:val="18"/>
                <w:szCs w:val="18"/>
                <w:lang w:val="en-GB"/>
              </w:rPr>
            </w:pPr>
            <w:r>
              <w:rPr>
                <w:rFonts w:ascii="Arial" w:hAnsi="Arial" w:cs="Arial"/>
                <w:bCs/>
                <w:sz w:val="18"/>
                <w:szCs w:val="18"/>
                <w:lang w:val="en-GB"/>
              </w:rPr>
              <w:t>Shareholders’ agreements term sheet (to be provided)</w:t>
            </w:r>
          </w:p>
          <w:p w14:paraId="25E73AEE" w14:textId="126F9513" w:rsidR="00C72F62" w:rsidRDefault="00C72F62" w:rsidP="00C72F62">
            <w:pPr>
              <w:spacing w:after="0"/>
              <w:rPr>
                <w:rFonts w:ascii="Arial" w:hAnsi="Arial" w:cs="Arial"/>
                <w:bCs/>
                <w:sz w:val="18"/>
                <w:szCs w:val="18"/>
                <w:lang w:val="en-GB"/>
              </w:rPr>
            </w:pPr>
            <w:r>
              <w:rPr>
                <w:rFonts w:ascii="Arial" w:hAnsi="Arial" w:cs="Arial"/>
                <w:bCs/>
                <w:sz w:val="18"/>
                <w:szCs w:val="18"/>
                <w:lang w:val="en-GB"/>
              </w:rPr>
              <w:t>Seed investment term</w:t>
            </w:r>
            <w:r w:rsidR="00A32A96">
              <w:rPr>
                <w:rFonts w:ascii="Arial" w:hAnsi="Arial" w:cs="Arial"/>
                <w:bCs/>
                <w:sz w:val="18"/>
                <w:szCs w:val="18"/>
                <w:lang w:val="en-GB"/>
              </w:rPr>
              <w:t xml:space="preserve"> sheet</w:t>
            </w:r>
            <w:r>
              <w:rPr>
                <w:rFonts w:ascii="Arial" w:hAnsi="Arial" w:cs="Arial"/>
                <w:bCs/>
                <w:sz w:val="18"/>
                <w:szCs w:val="18"/>
                <w:lang w:val="en-GB"/>
              </w:rPr>
              <w:t xml:space="preserve"> (Estonian VC model documents)</w:t>
            </w:r>
          </w:p>
          <w:p w14:paraId="6DB77941" w14:textId="77777777" w:rsidR="00C72F62" w:rsidRDefault="00C72F62" w:rsidP="00C72F62">
            <w:pPr>
              <w:spacing w:after="0"/>
              <w:rPr>
                <w:rFonts w:ascii="Arial" w:hAnsi="Arial" w:cs="Arial"/>
                <w:bCs/>
                <w:sz w:val="18"/>
                <w:szCs w:val="18"/>
                <w:lang w:val="en-GB"/>
              </w:rPr>
            </w:pPr>
          </w:p>
          <w:p w14:paraId="2B383EF5" w14:textId="32B6A760" w:rsidR="00C72F62" w:rsidRPr="00E04C94" w:rsidRDefault="00C72F62" w:rsidP="00C72F62">
            <w:pPr>
              <w:spacing w:after="0"/>
              <w:rPr>
                <w:rFonts w:ascii="Arial" w:hAnsi="Arial" w:cs="Arial"/>
                <w:bCs/>
                <w:sz w:val="18"/>
                <w:szCs w:val="18"/>
                <w:lang w:val="en-GB"/>
              </w:rPr>
            </w:pPr>
            <w:r w:rsidRPr="0058506B">
              <w:rPr>
                <w:rFonts w:ascii="Arial" w:hAnsi="Arial" w:cs="Arial"/>
                <w:bCs/>
                <w:sz w:val="18"/>
                <w:szCs w:val="18"/>
                <w:u w:val="single"/>
                <w:lang w:val="en-GB"/>
              </w:rPr>
              <w:t>Optional</w:t>
            </w:r>
            <w:r w:rsidRPr="00E04C94">
              <w:rPr>
                <w:rFonts w:ascii="Arial" w:hAnsi="Arial" w:cs="Arial"/>
                <w:bCs/>
                <w:sz w:val="18"/>
                <w:szCs w:val="18"/>
                <w:lang w:val="en-GB"/>
              </w:rPr>
              <w:t>:</w:t>
            </w:r>
          </w:p>
          <w:p w14:paraId="4A74E577" w14:textId="56631BDE" w:rsidR="00C72F62" w:rsidRDefault="00C72F62" w:rsidP="00C72F62">
            <w:pPr>
              <w:spacing w:after="0"/>
              <w:rPr>
                <w:rFonts w:ascii="Arial" w:hAnsi="Arial" w:cs="Arial"/>
                <w:bCs/>
                <w:sz w:val="18"/>
                <w:szCs w:val="18"/>
                <w:lang w:val="en-GB"/>
              </w:rPr>
            </w:pPr>
            <w:r>
              <w:rPr>
                <w:rFonts w:ascii="Arial" w:hAnsi="Arial" w:cs="Arial"/>
                <w:bCs/>
                <w:sz w:val="18"/>
                <w:szCs w:val="18"/>
                <w:lang w:val="en-GB"/>
              </w:rPr>
              <w:t>Model stock purchase agreement (American Bar Association) with commentary</w:t>
            </w:r>
          </w:p>
          <w:p w14:paraId="2AD9BC8B" w14:textId="1A6BAE23" w:rsidR="00C72F62" w:rsidRPr="0032580D" w:rsidRDefault="00C72F62" w:rsidP="00C72F62">
            <w:pPr>
              <w:spacing w:after="0"/>
              <w:rPr>
                <w:rFonts w:ascii="Arial" w:hAnsi="Arial" w:cs="Arial"/>
                <w:bCs/>
                <w:sz w:val="18"/>
                <w:szCs w:val="18"/>
                <w:lang w:val="en-GB"/>
              </w:rPr>
            </w:pPr>
            <w:r w:rsidRPr="00DA17CD">
              <w:rPr>
                <w:rFonts w:ascii="Arial" w:hAnsi="Arial" w:cs="Arial"/>
                <w:bCs/>
                <w:sz w:val="18"/>
                <w:szCs w:val="18"/>
                <w:lang w:val="en-GB"/>
              </w:rPr>
              <w:t>Barbarians at the Gate</w:t>
            </w:r>
            <w:r>
              <w:rPr>
                <w:rFonts w:ascii="Arial" w:hAnsi="Arial" w:cs="Arial"/>
                <w:bCs/>
                <w:sz w:val="18"/>
                <w:szCs w:val="18"/>
                <w:lang w:val="en-GB"/>
              </w:rPr>
              <w:t xml:space="preserve"> (1993) (</w:t>
            </w:r>
            <w:hyperlink r:id="rId13" w:history="1">
              <w:r w:rsidRPr="00161BCF">
                <w:rPr>
                  <w:rStyle w:val="Hyperlink"/>
                  <w:rFonts w:ascii="Arial" w:hAnsi="Arial" w:cs="Arial"/>
                  <w:bCs/>
                  <w:sz w:val="18"/>
                  <w:szCs w:val="18"/>
                  <w:lang w:val="en-GB"/>
                </w:rPr>
                <w:t>movie</w:t>
              </w:r>
              <w:r w:rsidR="003A5F58" w:rsidRPr="00161BCF">
                <w:rPr>
                  <w:rStyle w:val="Hyperlink"/>
                  <w:rFonts w:ascii="Arial" w:hAnsi="Arial" w:cs="Arial"/>
                  <w:bCs/>
                  <w:sz w:val="18"/>
                  <w:szCs w:val="18"/>
                  <w:lang w:val="en-GB"/>
                </w:rPr>
                <w:t xml:space="preserve"> link</w:t>
              </w:r>
            </w:hyperlink>
            <w:r>
              <w:rPr>
                <w:rFonts w:ascii="Arial" w:hAnsi="Arial" w:cs="Arial"/>
                <w:bCs/>
                <w:sz w:val="18"/>
                <w:szCs w:val="18"/>
                <w:lang w:val="en-GB"/>
              </w:rPr>
              <w:t>)</w:t>
            </w:r>
          </w:p>
        </w:tc>
      </w:tr>
      <w:tr w:rsidR="005F38E9" w:rsidRPr="0073580A" w14:paraId="1C5A9327" w14:textId="77777777" w:rsidTr="00D426E5">
        <w:trPr>
          <w:trHeight w:val="312"/>
        </w:trPr>
        <w:tc>
          <w:tcPr>
            <w:tcW w:w="1621" w:type="pct"/>
            <w:tcMar>
              <w:top w:w="72" w:type="dxa"/>
              <w:left w:w="115" w:type="dxa"/>
              <w:bottom w:w="72" w:type="dxa"/>
              <w:right w:w="115" w:type="dxa"/>
            </w:tcMar>
            <w:vAlign w:val="center"/>
          </w:tcPr>
          <w:p w14:paraId="485EE392" w14:textId="33C605F8" w:rsidR="00C72F62" w:rsidRPr="0073580A" w:rsidRDefault="00C72F62" w:rsidP="00C72F62">
            <w:pPr>
              <w:spacing w:after="0"/>
              <w:rPr>
                <w:rFonts w:ascii="Arial" w:hAnsi="Arial" w:cs="Arial"/>
                <w:sz w:val="18"/>
                <w:szCs w:val="18"/>
              </w:rPr>
            </w:pPr>
          </w:p>
        </w:tc>
        <w:tc>
          <w:tcPr>
            <w:tcW w:w="368" w:type="pct"/>
            <w:tcMar>
              <w:top w:w="72" w:type="dxa"/>
              <w:left w:w="115" w:type="dxa"/>
              <w:bottom w:w="72" w:type="dxa"/>
              <w:right w:w="115" w:type="dxa"/>
            </w:tcMar>
            <w:vAlign w:val="center"/>
          </w:tcPr>
          <w:p w14:paraId="5BD87266" w14:textId="34746961" w:rsidR="00C72F62" w:rsidRPr="0073580A" w:rsidRDefault="00C72F62" w:rsidP="00C72F62">
            <w:pPr>
              <w:spacing w:after="0"/>
              <w:jc w:val="center"/>
              <w:rPr>
                <w:rFonts w:ascii="Arial" w:hAnsi="Arial" w:cs="Arial"/>
                <w:bCs/>
                <w:sz w:val="18"/>
                <w:szCs w:val="18"/>
              </w:rPr>
            </w:pPr>
            <w:r w:rsidRPr="0073580A">
              <w:rPr>
                <w:rFonts w:ascii="Arial" w:hAnsi="Arial" w:cs="Arial"/>
                <w:b/>
                <w:bCs/>
                <w:sz w:val="18"/>
                <w:szCs w:val="18"/>
              </w:rPr>
              <w:t>Total: 48</w:t>
            </w:r>
            <w:r w:rsidR="002A4CFF">
              <w:rPr>
                <w:rFonts w:ascii="Arial" w:hAnsi="Arial" w:cs="Arial"/>
                <w:b/>
                <w:bCs/>
                <w:sz w:val="18"/>
                <w:szCs w:val="18"/>
              </w:rPr>
              <w:t>+2</w:t>
            </w:r>
            <w:r w:rsidRPr="0073580A">
              <w:rPr>
                <w:rFonts w:ascii="Arial" w:hAnsi="Arial" w:cs="Arial"/>
                <w:b/>
                <w:bCs/>
                <w:sz w:val="18"/>
                <w:szCs w:val="18"/>
              </w:rPr>
              <w:t xml:space="preserve"> hours </w:t>
            </w:r>
          </w:p>
        </w:tc>
        <w:tc>
          <w:tcPr>
            <w:tcW w:w="756" w:type="pct"/>
            <w:vAlign w:val="center"/>
          </w:tcPr>
          <w:p w14:paraId="4C2F150B" w14:textId="77777777" w:rsidR="00C72F62" w:rsidRPr="0073580A" w:rsidRDefault="00C72F62" w:rsidP="00C72F62">
            <w:pPr>
              <w:spacing w:after="0"/>
              <w:rPr>
                <w:rFonts w:ascii="Arial" w:hAnsi="Arial" w:cs="Arial"/>
                <w:bCs/>
                <w:sz w:val="18"/>
                <w:szCs w:val="18"/>
              </w:rPr>
            </w:pPr>
          </w:p>
        </w:tc>
        <w:tc>
          <w:tcPr>
            <w:tcW w:w="2255" w:type="pct"/>
            <w:tcMar>
              <w:top w:w="72" w:type="dxa"/>
              <w:left w:w="115" w:type="dxa"/>
              <w:bottom w:w="72" w:type="dxa"/>
              <w:right w:w="115" w:type="dxa"/>
            </w:tcMar>
            <w:vAlign w:val="center"/>
          </w:tcPr>
          <w:p w14:paraId="19A9A639" w14:textId="13695D5B" w:rsidR="00C72F62" w:rsidRPr="0073580A" w:rsidRDefault="00C72F62" w:rsidP="00C72F62">
            <w:pPr>
              <w:spacing w:after="0"/>
              <w:rPr>
                <w:rFonts w:ascii="Arial" w:hAnsi="Arial" w:cs="Arial"/>
                <w:bCs/>
                <w:sz w:val="18"/>
                <w:szCs w:val="18"/>
              </w:rPr>
            </w:pPr>
          </w:p>
        </w:tc>
      </w:tr>
      <w:tr w:rsidR="005F38E9" w:rsidRPr="0073580A" w14:paraId="75F30FE0" w14:textId="77777777" w:rsidTr="00D426E5">
        <w:trPr>
          <w:trHeight w:val="312"/>
        </w:trPr>
        <w:tc>
          <w:tcPr>
            <w:tcW w:w="1621" w:type="pct"/>
            <w:tcMar>
              <w:top w:w="72" w:type="dxa"/>
              <w:left w:w="115" w:type="dxa"/>
              <w:bottom w:w="72" w:type="dxa"/>
              <w:right w:w="115" w:type="dxa"/>
            </w:tcMar>
            <w:vAlign w:val="center"/>
          </w:tcPr>
          <w:p w14:paraId="77AD9A3D" w14:textId="1A04CD24" w:rsidR="00C72F62" w:rsidRPr="0073580A" w:rsidRDefault="00C72F62" w:rsidP="00C72F62">
            <w:pPr>
              <w:spacing w:after="0"/>
              <w:rPr>
                <w:rFonts w:ascii="Arial" w:hAnsi="Arial" w:cs="Arial"/>
                <w:sz w:val="18"/>
                <w:szCs w:val="18"/>
              </w:rPr>
            </w:pPr>
            <w:r w:rsidRPr="0073580A">
              <w:rPr>
                <w:rFonts w:ascii="Arial" w:hAnsi="Arial" w:cs="Arial"/>
                <w:sz w:val="18"/>
                <w:szCs w:val="18"/>
              </w:rPr>
              <w:t>CONSULTATIONS</w:t>
            </w:r>
          </w:p>
        </w:tc>
        <w:tc>
          <w:tcPr>
            <w:tcW w:w="368" w:type="pct"/>
            <w:tcMar>
              <w:top w:w="72" w:type="dxa"/>
              <w:left w:w="115" w:type="dxa"/>
              <w:bottom w:w="72" w:type="dxa"/>
              <w:right w:w="115" w:type="dxa"/>
            </w:tcMar>
            <w:vAlign w:val="center"/>
          </w:tcPr>
          <w:p w14:paraId="5A0303C7" w14:textId="1A536A13" w:rsidR="00C72F62" w:rsidRPr="0073580A" w:rsidRDefault="000006A5" w:rsidP="00C72F62">
            <w:pPr>
              <w:spacing w:after="0"/>
              <w:jc w:val="center"/>
              <w:rPr>
                <w:rFonts w:ascii="Arial" w:hAnsi="Arial" w:cs="Arial"/>
                <w:bCs/>
                <w:sz w:val="18"/>
                <w:szCs w:val="18"/>
              </w:rPr>
            </w:pPr>
            <w:r>
              <w:rPr>
                <w:rFonts w:ascii="Arial" w:hAnsi="Arial" w:cs="Arial"/>
                <w:bCs/>
                <w:sz w:val="18"/>
                <w:szCs w:val="18"/>
              </w:rPr>
              <w:t>2</w:t>
            </w:r>
          </w:p>
        </w:tc>
        <w:tc>
          <w:tcPr>
            <w:tcW w:w="756" w:type="pct"/>
            <w:vAlign w:val="center"/>
          </w:tcPr>
          <w:p w14:paraId="56D18BBF" w14:textId="77777777" w:rsidR="00C72F62" w:rsidRPr="0073580A" w:rsidRDefault="00C72F62" w:rsidP="00C72F62">
            <w:pPr>
              <w:spacing w:after="0"/>
              <w:rPr>
                <w:rFonts w:ascii="Arial" w:hAnsi="Arial" w:cs="Arial"/>
                <w:bCs/>
                <w:sz w:val="18"/>
                <w:szCs w:val="18"/>
              </w:rPr>
            </w:pPr>
          </w:p>
        </w:tc>
        <w:tc>
          <w:tcPr>
            <w:tcW w:w="2255" w:type="pct"/>
            <w:tcMar>
              <w:top w:w="72" w:type="dxa"/>
              <w:left w:w="115" w:type="dxa"/>
              <w:bottom w:w="72" w:type="dxa"/>
              <w:right w:w="115" w:type="dxa"/>
            </w:tcMar>
            <w:vAlign w:val="center"/>
          </w:tcPr>
          <w:p w14:paraId="40B4DF9B" w14:textId="45472E8C" w:rsidR="00C72F62" w:rsidRPr="0073580A" w:rsidRDefault="00C72F62" w:rsidP="00C72F62">
            <w:pPr>
              <w:spacing w:after="0"/>
              <w:rPr>
                <w:rFonts w:ascii="Arial" w:hAnsi="Arial" w:cs="Arial"/>
                <w:bCs/>
                <w:sz w:val="18"/>
                <w:szCs w:val="18"/>
              </w:rPr>
            </w:pPr>
          </w:p>
        </w:tc>
      </w:tr>
      <w:tr w:rsidR="005F38E9" w:rsidRPr="0073580A" w14:paraId="0185B734" w14:textId="77777777" w:rsidTr="00D426E5">
        <w:trPr>
          <w:trHeight w:val="312"/>
        </w:trPr>
        <w:tc>
          <w:tcPr>
            <w:tcW w:w="1621" w:type="pct"/>
            <w:tcMar>
              <w:top w:w="72" w:type="dxa"/>
              <w:left w:w="115" w:type="dxa"/>
              <w:bottom w:w="72" w:type="dxa"/>
              <w:right w:w="115" w:type="dxa"/>
            </w:tcMar>
            <w:vAlign w:val="center"/>
          </w:tcPr>
          <w:p w14:paraId="0410C89D" w14:textId="77777777" w:rsidR="00C72F62" w:rsidRPr="0073580A" w:rsidRDefault="00C72F62" w:rsidP="00C72F62">
            <w:pPr>
              <w:spacing w:after="0"/>
              <w:rPr>
                <w:rFonts w:ascii="Arial" w:hAnsi="Arial" w:cs="Arial"/>
                <w:color w:val="000000"/>
                <w:sz w:val="18"/>
                <w:szCs w:val="18"/>
              </w:rPr>
            </w:pPr>
            <w:r w:rsidRPr="0073580A">
              <w:rPr>
                <w:rFonts w:ascii="Arial" w:hAnsi="Arial" w:cs="Arial"/>
                <w:color w:val="000000"/>
                <w:sz w:val="18"/>
                <w:szCs w:val="18"/>
              </w:rPr>
              <w:t>FINAL EXAM</w:t>
            </w:r>
          </w:p>
        </w:tc>
        <w:tc>
          <w:tcPr>
            <w:tcW w:w="368" w:type="pct"/>
            <w:tcMar>
              <w:top w:w="72" w:type="dxa"/>
              <w:left w:w="115" w:type="dxa"/>
              <w:bottom w:w="72" w:type="dxa"/>
              <w:right w:w="115" w:type="dxa"/>
            </w:tcMar>
            <w:vAlign w:val="center"/>
          </w:tcPr>
          <w:p w14:paraId="2275E763" w14:textId="0330B467" w:rsidR="00C72F62" w:rsidRPr="0073580A" w:rsidRDefault="00C72F62" w:rsidP="00C72F62">
            <w:pPr>
              <w:spacing w:after="0"/>
              <w:jc w:val="center"/>
              <w:rPr>
                <w:rFonts w:ascii="Arial" w:hAnsi="Arial" w:cs="Arial"/>
                <w:bCs/>
                <w:sz w:val="18"/>
                <w:szCs w:val="18"/>
              </w:rPr>
            </w:pPr>
            <w:r w:rsidRPr="0073580A">
              <w:rPr>
                <w:rFonts w:ascii="Arial" w:hAnsi="Arial" w:cs="Arial"/>
                <w:bCs/>
                <w:sz w:val="18"/>
                <w:szCs w:val="18"/>
              </w:rPr>
              <w:t>2</w:t>
            </w:r>
          </w:p>
        </w:tc>
        <w:tc>
          <w:tcPr>
            <w:tcW w:w="756" w:type="pct"/>
            <w:vAlign w:val="center"/>
          </w:tcPr>
          <w:p w14:paraId="362764E3" w14:textId="77777777" w:rsidR="00C72F62" w:rsidRPr="0073580A" w:rsidRDefault="00C72F62" w:rsidP="00C72F62">
            <w:pPr>
              <w:spacing w:after="0"/>
              <w:rPr>
                <w:rFonts w:ascii="Arial" w:hAnsi="Arial" w:cs="Arial"/>
                <w:bCs/>
                <w:sz w:val="18"/>
                <w:szCs w:val="18"/>
              </w:rPr>
            </w:pPr>
          </w:p>
        </w:tc>
        <w:tc>
          <w:tcPr>
            <w:tcW w:w="2255" w:type="pct"/>
            <w:tcMar>
              <w:top w:w="72" w:type="dxa"/>
              <w:left w:w="115" w:type="dxa"/>
              <w:bottom w:w="72" w:type="dxa"/>
              <w:right w:w="115" w:type="dxa"/>
            </w:tcMar>
            <w:vAlign w:val="center"/>
          </w:tcPr>
          <w:p w14:paraId="203A8ED1" w14:textId="3FEB04E4" w:rsidR="00C72F62" w:rsidRPr="0073580A" w:rsidRDefault="00C72F62" w:rsidP="00C72F62">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89D2D06" w:rsidR="00B259CF" w:rsidRPr="0073580A" w:rsidRDefault="004A239B" w:rsidP="005E0D68">
            <w:pPr>
              <w:spacing w:before="120" w:after="0"/>
              <w:rPr>
                <w:rFonts w:ascii="Arial" w:hAnsi="Arial" w:cs="Arial"/>
                <w:bCs/>
                <w:sz w:val="18"/>
                <w:szCs w:val="18"/>
              </w:rPr>
            </w:pPr>
            <w:r w:rsidRPr="003648D7">
              <w:rPr>
                <w:rFonts w:ascii="Arial" w:hAnsi="Arial" w:cs="Arial"/>
                <w:i/>
                <w:sz w:val="18"/>
                <w:szCs w:val="18"/>
              </w:rPr>
              <w:t>Group C</w:t>
            </w:r>
            <w:r w:rsidR="00B259CF" w:rsidRPr="003648D7">
              <w:rPr>
                <w:rFonts w:ascii="Arial" w:hAnsi="Arial" w:cs="Arial"/>
                <w:i/>
                <w:sz w:val="18"/>
                <w:szCs w:val="18"/>
              </w:rPr>
              <w:t>omponents</w:t>
            </w:r>
            <w:r w:rsidR="003648D7" w:rsidRPr="003648D7">
              <w:rPr>
                <w:rFonts w:ascii="Arial" w:hAnsi="Arial" w:cs="Arial"/>
                <w:i/>
                <w:sz w:val="18"/>
                <w:szCs w:val="18"/>
              </w:rPr>
              <w:t xml:space="preserve"> o%</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794CB651"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3648D7">
              <w:rPr>
                <w:rFonts w:ascii="Arial" w:hAnsi="Arial" w:cs="Arial"/>
                <w:i/>
                <w:sz w:val="18"/>
                <w:szCs w:val="18"/>
              </w:rPr>
              <w:t xml:space="preserve"> 100%</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C72F62"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FA5E1A8" w:rsidR="00C72F62" w:rsidRPr="0073580A" w:rsidRDefault="00C72F62" w:rsidP="00C72F62">
            <w:pPr>
              <w:spacing w:before="120" w:after="0"/>
              <w:rPr>
                <w:rFonts w:ascii="Arial" w:hAnsi="Arial" w:cs="Arial"/>
                <w:sz w:val="18"/>
                <w:szCs w:val="18"/>
              </w:rPr>
            </w:pPr>
            <w:proofErr w:type="spellStart"/>
            <w:r>
              <w:rPr>
                <w:rFonts w:ascii="Arial" w:hAnsi="Arial" w:cs="Arial"/>
                <w:sz w:val="18"/>
                <w:szCs w:val="18"/>
                <w:lang w:val="lt-LT" w:eastAsia="lt-LT"/>
              </w:rPr>
              <w:t>Mid-term</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test</w:t>
            </w:r>
            <w:proofErr w:type="spellEnd"/>
          </w:p>
        </w:tc>
        <w:tc>
          <w:tcPr>
            <w:tcW w:w="1730" w:type="pct"/>
            <w:tcMar>
              <w:top w:w="29" w:type="dxa"/>
              <w:left w:w="115" w:type="dxa"/>
              <w:bottom w:w="29" w:type="dxa"/>
              <w:right w:w="115" w:type="dxa"/>
            </w:tcMar>
            <w:vAlign w:val="center"/>
          </w:tcPr>
          <w:p w14:paraId="1500EF1A" w14:textId="315B881F" w:rsidR="00C72F62" w:rsidRPr="0073580A" w:rsidRDefault="00C72F62" w:rsidP="00C72F62">
            <w:pPr>
              <w:spacing w:before="120" w:after="0"/>
              <w:jc w:val="center"/>
              <w:rPr>
                <w:rFonts w:ascii="Arial" w:hAnsi="Arial" w:cs="Arial"/>
                <w:sz w:val="18"/>
                <w:szCs w:val="18"/>
              </w:rPr>
            </w:pPr>
            <w:r>
              <w:rPr>
                <w:rFonts w:ascii="Arial" w:hAnsi="Arial" w:cs="Arial"/>
                <w:sz w:val="18"/>
                <w:szCs w:val="18"/>
              </w:rPr>
              <w:t>50</w:t>
            </w:r>
          </w:p>
        </w:tc>
      </w:tr>
      <w:tr w:rsidR="00C72F62"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1DAA2369" w:rsidR="00C72F62" w:rsidRPr="0073580A" w:rsidRDefault="00C72F62" w:rsidP="00C72F62">
            <w:pPr>
              <w:spacing w:before="120" w:after="0"/>
              <w:rPr>
                <w:rFonts w:ascii="Arial" w:hAnsi="Arial" w:cs="Arial"/>
                <w:sz w:val="18"/>
                <w:szCs w:val="18"/>
              </w:rPr>
            </w:pPr>
            <w:r>
              <w:rPr>
                <w:rFonts w:ascii="Arial" w:hAnsi="Arial" w:cs="Arial"/>
                <w:sz w:val="18"/>
                <w:szCs w:val="18"/>
                <w:lang w:val="lt-LT" w:eastAsia="lt-LT"/>
              </w:rPr>
              <w:t xml:space="preserve">Final </w:t>
            </w:r>
            <w:proofErr w:type="spellStart"/>
            <w:r>
              <w:rPr>
                <w:rFonts w:ascii="Arial" w:hAnsi="Arial" w:cs="Arial"/>
                <w:sz w:val="18"/>
                <w:szCs w:val="18"/>
                <w:lang w:val="lt-LT" w:eastAsia="lt-LT"/>
              </w:rPr>
              <w:t>exam</w:t>
            </w:r>
            <w:proofErr w:type="spellEnd"/>
          </w:p>
        </w:tc>
        <w:tc>
          <w:tcPr>
            <w:tcW w:w="1730" w:type="pct"/>
            <w:tcMar>
              <w:top w:w="29" w:type="dxa"/>
              <w:left w:w="115" w:type="dxa"/>
              <w:bottom w:w="29" w:type="dxa"/>
              <w:right w:w="115" w:type="dxa"/>
            </w:tcMar>
            <w:vAlign w:val="center"/>
          </w:tcPr>
          <w:p w14:paraId="740E0D8D" w14:textId="59A011C7" w:rsidR="00C72F62" w:rsidRPr="0073580A" w:rsidRDefault="00C72F62" w:rsidP="00C72F62">
            <w:pPr>
              <w:spacing w:before="120" w:after="0"/>
              <w:jc w:val="center"/>
              <w:rPr>
                <w:rFonts w:ascii="Arial" w:hAnsi="Arial" w:cs="Arial"/>
                <w:sz w:val="18"/>
                <w:szCs w:val="18"/>
              </w:rPr>
            </w:pPr>
            <w:r>
              <w:rPr>
                <w:rFonts w:ascii="Arial" w:hAnsi="Arial" w:cs="Arial"/>
                <w:sz w:val="18"/>
                <w:szCs w:val="18"/>
                <w:lang w:val="lt-LT" w:eastAsia="lt-LT"/>
              </w:rPr>
              <w:t>50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57007B72" w14:textId="77777777" w:rsidR="003648D7" w:rsidRDefault="003648D7">
      <w:pPr>
        <w:spacing w:after="0" w:line="240" w:lineRule="auto"/>
        <w:rPr>
          <w:rFonts w:ascii="Arial" w:hAnsi="Arial" w:cs="Arial"/>
          <w:b/>
          <w:sz w:val="18"/>
          <w:szCs w:val="18"/>
        </w:rPr>
      </w:pPr>
      <w:r>
        <w:rPr>
          <w:rFonts w:ascii="Arial" w:hAnsi="Arial" w:cs="Arial"/>
          <w:b/>
          <w:sz w:val="18"/>
          <w:szCs w:val="18"/>
        </w:rPr>
        <w:br w:type="page"/>
      </w:r>
    </w:p>
    <w:p w14:paraId="56410AB0" w14:textId="0EFB3A83"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lastRenderedPageBreak/>
        <w:t xml:space="preserve">DESCRIPTION AND </w:t>
      </w:r>
      <w:r w:rsidR="004A239B" w:rsidRPr="0073580A">
        <w:rPr>
          <w:rFonts w:ascii="Arial" w:hAnsi="Arial" w:cs="Arial"/>
          <w:b/>
          <w:sz w:val="18"/>
          <w:szCs w:val="18"/>
        </w:rPr>
        <w:t>GRADING CRITERIA OF EACH ASSIGNMENT</w:t>
      </w:r>
    </w:p>
    <w:p w14:paraId="2C3FCE26" w14:textId="18C5646E" w:rsidR="00E02DA5" w:rsidRPr="0058506B" w:rsidRDefault="00E02DA5" w:rsidP="00E02DA5">
      <w:pPr>
        <w:pStyle w:val="ListParagraph"/>
        <w:autoSpaceDE w:val="0"/>
        <w:autoSpaceDN w:val="0"/>
        <w:adjustRightInd w:val="0"/>
        <w:spacing w:after="0" w:line="240" w:lineRule="auto"/>
        <w:ind w:left="0"/>
        <w:jc w:val="both"/>
        <w:rPr>
          <w:rFonts w:ascii="Arial" w:hAnsi="Arial" w:cs="Arial"/>
          <w:bCs/>
          <w:sz w:val="18"/>
          <w:szCs w:val="18"/>
        </w:rPr>
      </w:pPr>
    </w:p>
    <w:p w14:paraId="75CBCF33" w14:textId="380D2549" w:rsidR="001453F4" w:rsidRDefault="00E02DA5" w:rsidP="001453F4">
      <w:pPr>
        <w:pStyle w:val="ListParagraph"/>
        <w:autoSpaceDE w:val="0"/>
        <w:autoSpaceDN w:val="0"/>
        <w:adjustRightInd w:val="0"/>
        <w:spacing w:after="0" w:line="240" w:lineRule="auto"/>
        <w:ind w:left="0"/>
        <w:jc w:val="both"/>
        <w:rPr>
          <w:rFonts w:ascii="Arial" w:hAnsi="Arial" w:cs="Arial"/>
          <w:bCs/>
          <w:sz w:val="18"/>
          <w:szCs w:val="18"/>
          <w:lang w:val="lt-LT"/>
        </w:rPr>
      </w:pPr>
      <w:r w:rsidRPr="0058506B">
        <w:rPr>
          <w:rFonts w:ascii="Arial" w:hAnsi="Arial" w:cs="Arial"/>
          <w:bCs/>
          <w:sz w:val="18"/>
          <w:szCs w:val="18"/>
        </w:rPr>
        <w:t>1.</w:t>
      </w:r>
      <w:r w:rsidRPr="0058506B">
        <w:rPr>
          <w:rFonts w:ascii="Arial" w:hAnsi="Arial" w:cs="Arial"/>
          <w:bCs/>
          <w:sz w:val="18"/>
          <w:szCs w:val="18"/>
        </w:rPr>
        <w:tab/>
      </w:r>
      <w:r w:rsidR="001453F4" w:rsidRPr="0058506B">
        <w:rPr>
          <w:rFonts w:ascii="Arial" w:hAnsi="Arial" w:cs="Arial"/>
          <w:b/>
          <w:sz w:val="18"/>
          <w:szCs w:val="18"/>
        </w:rPr>
        <w:t>The mid-term test (50%)</w:t>
      </w:r>
      <w:r w:rsidR="001453F4" w:rsidRPr="0058506B">
        <w:rPr>
          <w:rFonts w:ascii="Arial" w:hAnsi="Arial" w:cs="Arial"/>
          <w:bCs/>
          <w:sz w:val="18"/>
          <w:szCs w:val="18"/>
        </w:rPr>
        <w:t xml:space="preserve"> will cover the content of Lecture 1-6. It will be an open book exam. It will consist multiple-choice questions and brief open questions. The day of the mid-term assessment will be announced in advance.</w:t>
      </w:r>
    </w:p>
    <w:p w14:paraId="6AA229BA" w14:textId="77777777" w:rsidR="001453F4" w:rsidRDefault="001453F4" w:rsidP="00E02DA5">
      <w:pPr>
        <w:pStyle w:val="ListParagraph"/>
        <w:autoSpaceDE w:val="0"/>
        <w:autoSpaceDN w:val="0"/>
        <w:adjustRightInd w:val="0"/>
        <w:spacing w:after="0" w:line="240" w:lineRule="auto"/>
        <w:ind w:left="0"/>
        <w:jc w:val="both"/>
        <w:rPr>
          <w:rFonts w:ascii="Arial" w:hAnsi="Arial" w:cs="Arial"/>
          <w:bCs/>
          <w:sz w:val="18"/>
          <w:szCs w:val="18"/>
        </w:rPr>
      </w:pPr>
    </w:p>
    <w:p w14:paraId="3C458D87" w14:textId="77777777" w:rsidR="00E02DA5" w:rsidRPr="0058506B" w:rsidRDefault="00E02DA5" w:rsidP="00E02DA5">
      <w:pPr>
        <w:pStyle w:val="ListParagraph"/>
        <w:autoSpaceDE w:val="0"/>
        <w:autoSpaceDN w:val="0"/>
        <w:adjustRightInd w:val="0"/>
        <w:spacing w:after="0" w:line="240" w:lineRule="auto"/>
        <w:ind w:left="0"/>
        <w:jc w:val="both"/>
        <w:rPr>
          <w:rFonts w:ascii="Arial" w:hAnsi="Arial" w:cs="Arial"/>
          <w:bCs/>
          <w:sz w:val="18"/>
          <w:szCs w:val="18"/>
        </w:rPr>
      </w:pPr>
    </w:p>
    <w:p w14:paraId="53535094" w14:textId="472CF3E0" w:rsidR="00E02DA5" w:rsidRDefault="00E02DA5" w:rsidP="00E02DA5">
      <w:pPr>
        <w:pStyle w:val="ListParagraph"/>
        <w:autoSpaceDE w:val="0"/>
        <w:autoSpaceDN w:val="0"/>
        <w:adjustRightInd w:val="0"/>
        <w:spacing w:after="0" w:line="240" w:lineRule="auto"/>
        <w:ind w:left="0"/>
        <w:jc w:val="both"/>
        <w:rPr>
          <w:rFonts w:ascii="Arial" w:hAnsi="Arial" w:cs="Arial"/>
          <w:bCs/>
          <w:sz w:val="18"/>
          <w:szCs w:val="18"/>
          <w:lang w:val="lt-LT"/>
        </w:rPr>
      </w:pPr>
      <w:r w:rsidRPr="0058506B">
        <w:rPr>
          <w:rFonts w:ascii="Arial" w:hAnsi="Arial" w:cs="Arial"/>
          <w:bCs/>
          <w:sz w:val="18"/>
          <w:szCs w:val="18"/>
        </w:rPr>
        <w:t>2.</w:t>
      </w:r>
      <w:r w:rsidRPr="0058506B">
        <w:rPr>
          <w:rFonts w:ascii="Arial" w:hAnsi="Arial" w:cs="Arial"/>
          <w:bCs/>
          <w:sz w:val="18"/>
          <w:szCs w:val="18"/>
        </w:rPr>
        <w:tab/>
      </w:r>
      <w:r w:rsidR="001453F4" w:rsidRPr="0058506B">
        <w:rPr>
          <w:rFonts w:ascii="Arial" w:hAnsi="Arial" w:cs="Arial"/>
          <w:b/>
          <w:sz w:val="18"/>
          <w:szCs w:val="18"/>
        </w:rPr>
        <w:t>The final exam</w:t>
      </w:r>
      <w:r w:rsidR="001453F4" w:rsidRPr="0058506B">
        <w:rPr>
          <w:rFonts w:ascii="Arial" w:hAnsi="Arial" w:cs="Arial"/>
          <w:bCs/>
          <w:sz w:val="18"/>
          <w:szCs w:val="18"/>
        </w:rPr>
        <w:t xml:space="preserve"> will account for </w:t>
      </w:r>
      <w:r w:rsidR="001453F4" w:rsidRPr="0058506B">
        <w:rPr>
          <w:rFonts w:ascii="Arial" w:hAnsi="Arial" w:cs="Arial"/>
          <w:b/>
          <w:sz w:val="18"/>
          <w:szCs w:val="18"/>
        </w:rPr>
        <w:t>50%</w:t>
      </w:r>
      <w:r w:rsidR="001453F4" w:rsidRPr="0058506B">
        <w:rPr>
          <w:rFonts w:ascii="Arial" w:hAnsi="Arial" w:cs="Arial"/>
          <w:bCs/>
          <w:sz w:val="18"/>
          <w:szCs w:val="18"/>
        </w:rPr>
        <w:t xml:space="preserve"> of the final grade: It will be an open book exam. It will consist multiple-choice questions (mostly) and brief open questions. The final exam will mostly deal with the topics covered after mid-term exam</w:t>
      </w:r>
      <w:r w:rsidRPr="0058506B">
        <w:rPr>
          <w:rFonts w:ascii="Arial" w:hAnsi="Arial" w:cs="Arial"/>
          <w:bCs/>
          <w:sz w:val="18"/>
          <w:szCs w:val="18"/>
        </w:rPr>
        <w:t>.</w:t>
      </w:r>
    </w:p>
    <w:p w14:paraId="3E47241E" w14:textId="70FB757E" w:rsidR="00E02DA5" w:rsidRDefault="00E02DA5" w:rsidP="00E02DA5">
      <w:pPr>
        <w:pStyle w:val="ListParagraph"/>
        <w:autoSpaceDE w:val="0"/>
        <w:autoSpaceDN w:val="0"/>
        <w:adjustRightInd w:val="0"/>
        <w:spacing w:after="0" w:line="240" w:lineRule="auto"/>
        <w:ind w:left="0"/>
        <w:jc w:val="both"/>
        <w:rPr>
          <w:rFonts w:ascii="Arial" w:hAnsi="Arial" w:cs="Arial"/>
          <w:bCs/>
          <w:sz w:val="18"/>
          <w:szCs w:val="18"/>
        </w:rPr>
      </w:pPr>
    </w:p>
    <w:p w14:paraId="0455359A" w14:textId="77777777" w:rsidR="002A4CFF" w:rsidRDefault="002A4CFF" w:rsidP="002A4CFF">
      <w:pPr>
        <w:pStyle w:val="ListParagraph"/>
        <w:autoSpaceDE w:val="0"/>
        <w:autoSpaceDN w:val="0"/>
        <w:adjustRightInd w:val="0"/>
        <w:spacing w:after="0" w:line="240" w:lineRule="auto"/>
        <w:ind w:left="0"/>
        <w:jc w:val="both"/>
        <w:rPr>
          <w:rFonts w:ascii="Arial" w:hAnsi="Arial" w:cs="Arial"/>
          <w:b/>
          <w:bCs/>
          <w:sz w:val="18"/>
          <w:szCs w:val="18"/>
        </w:rPr>
      </w:pPr>
      <w:r>
        <w:rPr>
          <w:rFonts w:ascii="Arial" w:hAnsi="Arial" w:cs="Arial"/>
          <w:b/>
          <w:bCs/>
          <w:sz w:val="18"/>
          <w:szCs w:val="18"/>
        </w:rPr>
        <w:t>RETAKE POLICY</w:t>
      </w:r>
    </w:p>
    <w:p w14:paraId="53F608A5" w14:textId="77777777" w:rsidR="002A4CFF" w:rsidRDefault="002A4CFF" w:rsidP="002A4CFF">
      <w:pPr>
        <w:pStyle w:val="ListParagraph"/>
        <w:autoSpaceDE w:val="0"/>
        <w:autoSpaceDN w:val="0"/>
        <w:adjustRightInd w:val="0"/>
        <w:spacing w:after="0" w:line="240" w:lineRule="auto"/>
        <w:ind w:left="0"/>
        <w:jc w:val="both"/>
        <w:rPr>
          <w:rFonts w:ascii="Arial" w:hAnsi="Arial" w:cs="Arial"/>
          <w:b/>
          <w:bCs/>
          <w:sz w:val="18"/>
          <w:szCs w:val="18"/>
          <w:lang w:val="en-GB"/>
        </w:rPr>
      </w:pPr>
    </w:p>
    <w:p w14:paraId="79D75902" w14:textId="54BA9116" w:rsidR="002A4CFF" w:rsidRDefault="002A4CFF" w:rsidP="002A4CFF">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sz w:val="18"/>
          <w:szCs w:val="18"/>
          <w:lang w:val="en-GB"/>
        </w:rPr>
        <w:t xml:space="preserve">Students who receive a failing final grade shall have the right to re-take the exams, which will comprise </w:t>
      </w:r>
      <w:r>
        <w:rPr>
          <w:rFonts w:ascii="Arial" w:hAnsi="Arial" w:cs="Arial"/>
          <w:b/>
          <w:sz w:val="18"/>
          <w:szCs w:val="18"/>
          <w:lang w:val="en-GB"/>
        </w:rPr>
        <w:t>100%</w:t>
      </w:r>
      <w:r>
        <w:rPr>
          <w:rFonts w:ascii="Arial" w:hAnsi="Arial" w:cs="Arial"/>
          <w:sz w:val="18"/>
          <w:szCs w:val="18"/>
          <w:lang w:val="en-GB"/>
        </w:rPr>
        <w:t xml:space="preserve"> of the final grade and cover all topics of the course.</w:t>
      </w:r>
      <w:r w:rsidR="0001451B" w:rsidRPr="0001451B">
        <w:rPr>
          <w:rFonts w:ascii="Arial" w:hAnsi="Arial" w:cs="Arial"/>
          <w:bCs/>
          <w:sz w:val="18"/>
          <w:szCs w:val="18"/>
        </w:rPr>
        <w:t xml:space="preserve"> </w:t>
      </w:r>
      <w:r w:rsidR="0001451B" w:rsidRPr="0058506B">
        <w:rPr>
          <w:rFonts w:ascii="Arial" w:hAnsi="Arial" w:cs="Arial"/>
          <w:bCs/>
          <w:sz w:val="18"/>
          <w:szCs w:val="18"/>
        </w:rPr>
        <w:t>It will be an open book exam</w:t>
      </w:r>
      <w:r w:rsidR="0001451B">
        <w:rPr>
          <w:rFonts w:ascii="Arial" w:hAnsi="Arial" w:cs="Arial"/>
          <w:bCs/>
          <w:sz w:val="18"/>
          <w:szCs w:val="18"/>
        </w:rPr>
        <w:t>.</w:t>
      </w:r>
      <w:r>
        <w:rPr>
          <w:rFonts w:ascii="Arial" w:hAnsi="Arial" w:cs="Arial"/>
          <w:sz w:val="18"/>
          <w:szCs w:val="18"/>
          <w:lang w:val="en-GB"/>
        </w:rPr>
        <w:t xml:space="preserve"> </w:t>
      </w:r>
      <w:r w:rsidRPr="0058506B">
        <w:rPr>
          <w:rFonts w:ascii="Arial" w:hAnsi="Arial" w:cs="Arial"/>
          <w:bCs/>
          <w:sz w:val="18"/>
          <w:szCs w:val="18"/>
        </w:rPr>
        <w:t>It will consist multiple-choice questions (mostly) and brief open questions.</w:t>
      </w:r>
      <w:r>
        <w:rPr>
          <w:rFonts w:ascii="Arial" w:hAnsi="Arial" w:cs="Arial"/>
          <w:sz w:val="18"/>
          <w:szCs w:val="18"/>
          <w:lang w:val="en-GB"/>
        </w:rPr>
        <w:t xml:space="preserve"> Midterm exam and final exam results will be annulled.</w:t>
      </w:r>
    </w:p>
    <w:p w14:paraId="7D9A4CB7" w14:textId="198E3900"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659B66BB" w14:textId="785ECA09" w:rsidR="00114104" w:rsidRDefault="00EF165B" w:rsidP="00E4758A">
      <w:pPr>
        <w:pStyle w:val="metod"/>
        <w:ind w:firstLine="0"/>
        <w:jc w:val="both"/>
        <w:rPr>
          <w:rFonts w:ascii="Arial" w:hAnsi="Arial" w:cs="Arial"/>
          <w:bCs/>
          <w:sz w:val="18"/>
          <w:szCs w:val="18"/>
        </w:rPr>
      </w:pPr>
      <w:r>
        <w:rPr>
          <w:rFonts w:ascii="Arial" w:hAnsi="Arial" w:cs="Arial"/>
          <w:bCs/>
          <w:sz w:val="18"/>
          <w:szCs w:val="18"/>
        </w:rPr>
        <w:t xml:space="preserve">Lithuanian </w:t>
      </w:r>
      <w:proofErr w:type="spellStart"/>
      <w:r>
        <w:rPr>
          <w:rFonts w:ascii="Arial" w:hAnsi="Arial" w:cs="Arial"/>
          <w:bCs/>
          <w:sz w:val="18"/>
          <w:szCs w:val="18"/>
        </w:rPr>
        <w:t>Civil</w:t>
      </w:r>
      <w:proofErr w:type="spellEnd"/>
      <w:r>
        <w:rPr>
          <w:rFonts w:ascii="Arial" w:hAnsi="Arial" w:cs="Arial"/>
          <w:bCs/>
          <w:sz w:val="18"/>
          <w:szCs w:val="18"/>
        </w:rPr>
        <w:t xml:space="preserve"> </w:t>
      </w:r>
      <w:proofErr w:type="spellStart"/>
      <w:r>
        <w:rPr>
          <w:rFonts w:ascii="Arial" w:hAnsi="Arial" w:cs="Arial"/>
          <w:bCs/>
          <w:sz w:val="18"/>
          <w:szCs w:val="18"/>
        </w:rPr>
        <w:t>Code</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selected</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articles</w:t>
      </w:r>
      <w:proofErr w:type="spellEnd"/>
      <w:r w:rsidR="006F2DE9">
        <w:rPr>
          <w:rFonts w:ascii="Arial" w:hAnsi="Arial" w:cs="Arial"/>
          <w:bCs/>
          <w:sz w:val="18"/>
          <w:szCs w:val="18"/>
        </w:rPr>
        <w:t>)</w:t>
      </w:r>
    </w:p>
    <w:p w14:paraId="2E3FCB31" w14:textId="4CF6296D" w:rsidR="00EF165B" w:rsidRDefault="00EF165B" w:rsidP="00E4758A">
      <w:pPr>
        <w:pStyle w:val="metod"/>
        <w:ind w:firstLine="0"/>
        <w:jc w:val="both"/>
        <w:rPr>
          <w:rFonts w:ascii="Arial" w:hAnsi="Arial" w:cs="Arial"/>
          <w:bCs/>
          <w:sz w:val="18"/>
          <w:szCs w:val="18"/>
        </w:rPr>
      </w:pPr>
      <w:proofErr w:type="spellStart"/>
      <w:r w:rsidRPr="009A48D7">
        <w:rPr>
          <w:rFonts w:ascii="Arial" w:hAnsi="Arial" w:cs="Arial"/>
          <w:bCs/>
          <w:sz w:val="18"/>
          <w:szCs w:val="18"/>
        </w:rPr>
        <w:t>Commentary</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on</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the</w:t>
      </w:r>
      <w:proofErr w:type="spellEnd"/>
      <w:r w:rsidRPr="009A48D7">
        <w:rPr>
          <w:rFonts w:ascii="Arial" w:hAnsi="Arial" w:cs="Arial"/>
          <w:bCs/>
          <w:sz w:val="18"/>
          <w:szCs w:val="18"/>
        </w:rPr>
        <w:t xml:space="preserve"> Lithuanian </w:t>
      </w:r>
      <w:proofErr w:type="spellStart"/>
      <w:r w:rsidRPr="009A48D7">
        <w:rPr>
          <w:rFonts w:ascii="Arial" w:hAnsi="Arial" w:cs="Arial"/>
          <w:bCs/>
          <w:sz w:val="18"/>
          <w:szCs w:val="18"/>
        </w:rPr>
        <w:t>Civil</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Code</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Book</w:t>
      </w:r>
      <w:proofErr w:type="spellEnd"/>
      <w:r w:rsidRPr="009A48D7">
        <w:rPr>
          <w:rFonts w:ascii="Arial" w:hAnsi="Arial" w:cs="Arial"/>
          <w:bCs/>
          <w:sz w:val="18"/>
          <w:szCs w:val="18"/>
        </w:rPr>
        <w:t xml:space="preserve"> VI. </w:t>
      </w:r>
      <w:proofErr w:type="spellStart"/>
      <w:r w:rsidRPr="009A48D7">
        <w:rPr>
          <w:rFonts w:ascii="Arial" w:hAnsi="Arial" w:cs="Arial"/>
          <w:bCs/>
          <w:sz w:val="18"/>
          <w:szCs w:val="18"/>
        </w:rPr>
        <w:t>Law</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on</w:t>
      </w:r>
      <w:proofErr w:type="spellEnd"/>
      <w:r w:rsidRPr="009A48D7">
        <w:rPr>
          <w:rFonts w:ascii="Arial" w:hAnsi="Arial" w:cs="Arial"/>
          <w:bCs/>
          <w:sz w:val="18"/>
          <w:szCs w:val="18"/>
        </w:rPr>
        <w:t xml:space="preserve"> </w:t>
      </w:r>
      <w:proofErr w:type="spellStart"/>
      <w:r w:rsidRPr="009A48D7">
        <w:rPr>
          <w:rFonts w:ascii="Arial" w:hAnsi="Arial" w:cs="Arial"/>
          <w:bCs/>
          <w:sz w:val="18"/>
          <w:szCs w:val="18"/>
        </w:rPr>
        <w:t>Obligations</w:t>
      </w:r>
      <w:proofErr w:type="spellEnd"/>
      <w:r w:rsidRPr="009A48D7">
        <w:rPr>
          <w:rFonts w:ascii="Arial" w:hAnsi="Arial" w:cs="Arial"/>
          <w:bCs/>
          <w:sz w:val="18"/>
          <w:szCs w:val="18"/>
        </w:rPr>
        <w:t xml:space="preserve"> (I). Vilnius, </w:t>
      </w:r>
      <w:proofErr w:type="spellStart"/>
      <w:r w:rsidRPr="009A48D7">
        <w:rPr>
          <w:rFonts w:ascii="Arial" w:hAnsi="Arial" w:cs="Arial"/>
          <w:bCs/>
          <w:sz w:val="18"/>
          <w:szCs w:val="18"/>
        </w:rPr>
        <w:t>Justitia</w:t>
      </w:r>
      <w:proofErr w:type="spellEnd"/>
      <w:r w:rsidRPr="009A48D7">
        <w:rPr>
          <w:rFonts w:ascii="Arial" w:hAnsi="Arial" w:cs="Arial"/>
          <w:bCs/>
          <w:sz w:val="18"/>
          <w:szCs w:val="18"/>
        </w:rPr>
        <w:t>, 2003.</w:t>
      </w:r>
    </w:p>
    <w:p w14:paraId="1AA00AB3" w14:textId="2D90B02B" w:rsidR="00EF165B" w:rsidRDefault="00EF165B" w:rsidP="00E4758A">
      <w:pPr>
        <w:pStyle w:val="metod"/>
        <w:ind w:firstLine="0"/>
        <w:jc w:val="both"/>
        <w:rPr>
          <w:rFonts w:ascii="Arial" w:hAnsi="Arial" w:cs="Arial"/>
          <w:bCs/>
          <w:sz w:val="18"/>
          <w:szCs w:val="18"/>
        </w:rPr>
      </w:pPr>
      <w:proofErr w:type="spellStart"/>
      <w:r w:rsidRPr="005F6E02">
        <w:rPr>
          <w:rFonts w:ascii="Arial" w:hAnsi="Arial" w:cs="Arial"/>
          <w:bCs/>
          <w:sz w:val="18"/>
          <w:szCs w:val="18"/>
        </w:rPr>
        <w:t>Schmitthoff’s</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Export</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Trade</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The</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law</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and</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practice</w:t>
      </w:r>
      <w:proofErr w:type="spellEnd"/>
      <w:r w:rsidRPr="005F6E02">
        <w:rPr>
          <w:rFonts w:ascii="Arial" w:hAnsi="Arial" w:cs="Arial"/>
          <w:bCs/>
          <w:sz w:val="18"/>
          <w:szCs w:val="18"/>
        </w:rPr>
        <w:t xml:space="preserve"> of </w:t>
      </w:r>
      <w:proofErr w:type="spellStart"/>
      <w:r w:rsidRPr="005F6E02">
        <w:rPr>
          <w:rFonts w:ascii="Arial" w:hAnsi="Arial" w:cs="Arial"/>
          <w:bCs/>
          <w:sz w:val="18"/>
          <w:szCs w:val="18"/>
        </w:rPr>
        <w:t>international</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trade</w:t>
      </w:r>
      <w:proofErr w:type="spellEnd"/>
      <w:r w:rsidRPr="005F6E02">
        <w:rPr>
          <w:rFonts w:ascii="Arial" w:hAnsi="Arial" w:cs="Arial"/>
          <w:bCs/>
          <w:sz w:val="18"/>
          <w:szCs w:val="18"/>
        </w:rPr>
        <w:t>.</w:t>
      </w:r>
    </w:p>
    <w:p w14:paraId="22C326DB" w14:textId="02D74181" w:rsidR="00EF165B" w:rsidRDefault="00EF165B" w:rsidP="00E4758A">
      <w:pPr>
        <w:pStyle w:val="metod"/>
        <w:ind w:firstLine="0"/>
        <w:jc w:val="both"/>
        <w:rPr>
          <w:rFonts w:ascii="Arial" w:hAnsi="Arial" w:cs="Arial"/>
          <w:bCs/>
          <w:sz w:val="18"/>
          <w:szCs w:val="18"/>
        </w:rPr>
      </w:pPr>
      <w:r>
        <w:rPr>
          <w:rFonts w:ascii="Arial" w:hAnsi="Arial" w:cs="Arial"/>
          <w:bCs/>
          <w:sz w:val="18"/>
          <w:szCs w:val="18"/>
        </w:rPr>
        <w:t xml:space="preserve">General Data </w:t>
      </w:r>
      <w:proofErr w:type="spellStart"/>
      <w:r>
        <w:rPr>
          <w:rFonts w:ascii="Arial" w:hAnsi="Arial" w:cs="Arial"/>
          <w:bCs/>
          <w:sz w:val="18"/>
          <w:szCs w:val="18"/>
        </w:rPr>
        <w:t>Protection</w:t>
      </w:r>
      <w:proofErr w:type="spellEnd"/>
      <w:r>
        <w:rPr>
          <w:rFonts w:ascii="Arial" w:hAnsi="Arial" w:cs="Arial"/>
          <w:bCs/>
          <w:sz w:val="18"/>
          <w:szCs w:val="18"/>
        </w:rPr>
        <w:t xml:space="preserve"> </w:t>
      </w:r>
      <w:proofErr w:type="spellStart"/>
      <w:r>
        <w:rPr>
          <w:rFonts w:ascii="Arial" w:hAnsi="Arial" w:cs="Arial"/>
          <w:bCs/>
          <w:sz w:val="18"/>
          <w:szCs w:val="18"/>
        </w:rPr>
        <w:t>Regulation</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selected</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articles</w:t>
      </w:r>
      <w:proofErr w:type="spellEnd"/>
      <w:r w:rsidR="006F2DE9">
        <w:rPr>
          <w:rFonts w:ascii="Arial" w:hAnsi="Arial" w:cs="Arial"/>
          <w:bCs/>
          <w:sz w:val="18"/>
          <w:szCs w:val="18"/>
        </w:rPr>
        <w:t>)</w:t>
      </w:r>
    </w:p>
    <w:p w14:paraId="0621A9DA" w14:textId="39416F99" w:rsidR="00EF165B" w:rsidRDefault="00EF165B" w:rsidP="00E4758A">
      <w:pPr>
        <w:pStyle w:val="metod"/>
        <w:ind w:firstLine="0"/>
        <w:jc w:val="both"/>
        <w:rPr>
          <w:rFonts w:ascii="Arial" w:hAnsi="Arial" w:cs="Arial"/>
          <w:bCs/>
          <w:sz w:val="18"/>
          <w:szCs w:val="18"/>
        </w:rPr>
      </w:pPr>
      <w:proofErr w:type="spellStart"/>
      <w:r>
        <w:rPr>
          <w:rFonts w:ascii="Arial" w:hAnsi="Arial" w:cs="Arial"/>
          <w:bCs/>
          <w:sz w:val="18"/>
          <w:szCs w:val="18"/>
        </w:rPr>
        <w:t>T</w:t>
      </w:r>
      <w:r w:rsidRPr="005F6E02">
        <w:rPr>
          <w:rFonts w:ascii="Arial" w:hAnsi="Arial" w:cs="Arial"/>
          <w:bCs/>
          <w:sz w:val="18"/>
          <w:szCs w:val="18"/>
        </w:rPr>
        <w:t>he</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Law</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on</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Competition</w:t>
      </w:r>
      <w:proofErr w:type="spellEnd"/>
      <w:r w:rsidRPr="005F6E02">
        <w:rPr>
          <w:rFonts w:ascii="Arial" w:hAnsi="Arial" w:cs="Arial"/>
          <w:bCs/>
          <w:sz w:val="18"/>
          <w:szCs w:val="18"/>
        </w:rPr>
        <w:t xml:space="preserve"> of </w:t>
      </w:r>
      <w:proofErr w:type="spellStart"/>
      <w:r w:rsidRPr="005F6E02">
        <w:rPr>
          <w:rFonts w:ascii="Arial" w:hAnsi="Arial" w:cs="Arial"/>
          <w:bCs/>
          <w:sz w:val="18"/>
          <w:szCs w:val="18"/>
        </w:rPr>
        <w:t>The</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Republic</w:t>
      </w:r>
      <w:proofErr w:type="spellEnd"/>
      <w:r w:rsidRPr="005F6E02">
        <w:rPr>
          <w:rFonts w:ascii="Arial" w:hAnsi="Arial" w:cs="Arial"/>
          <w:bCs/>
          <w:sz w:val="18"/>
          <w:szCs w:val="18"/>
        </w:rPr>
        <w:t xml:space="preserve"> of Lithuania</w:t>
      </w:r>
    </w:p>
    <w:p w14:paraId="1E630CC9" w14:textId="5C282990" w:rsidR="00EF165B" w:rsidRDefault="00EF165B" w:rsidP="00E4758A">
      <w:pPr>
        <w:pStyle w:val="metod"/>
        <w:ind w:firstLine="0"/>
        <w:jc w:val="both"/>
        <w:rPr>
          <w:rFonts w:ascii="Arial" w:hAnsi="Arial" w:cs="Arial"/>
          <w:sz w:val="18"/>
          <w:szCs w:val="18"/>
          <w:lang w:val="en-US"/>
        </w:rPr>
      </w:pPr>
      <w:r w:rsidRPr="005F6E02">
        <w:rPr>
          <w:rFonts w:ascii="Arial" w:hAnsi="Arial" w:cs="Arial"/>
          <w:bCs/>
          <w:sz w:val="18"/>
          <w:szCs w:val="18"/>
        </w:rPr>
        <w:t xml:space="preserve">Lithuanian </w:t>
      </w:r>
      <w:proofErr w:type="spellStart"/>
      <w:r w:rsidRPr="005F6E02">
        <w:rPr>
          <w:rFonts w:ascii="Arial" w:hAnsi="Arial" w:cs="Arial"/>
          <w:bCs/>
          <w:sz w:val="18"/>
          <w:szCs w:val="18"/>
        </w:rPr>
        <w:t>Labour</w:t>
      </w:r>
      <w:proofErr w:type="spellEnd"/>
      <w:r w:rsidRPr="005F6E02">
        <w:rPr>
          <w:rFonts w:ascii="Arial" w:hAnsi="Arial" w:cs="Arial"/>
          <w:bCs/>
          <w:sz w:val="18"/>
          <w:szCs w:val="18"/>
        </w:rPr>
        <w:t xml:space="preserve"> </w:t>
      </w:r>
      <w:proofErr w:type="spellStart"/>
      <w:r w:rsidRPr="005F6E02">
        <w:rPr>
          <w:rFonts w:ascii="Arial" w:hAnsi="Arial" w:cs="Arial"/>
          <w:bCs/>
          <w:sz w:val="18"/>
          <w:szCs w:val="18"/>
        </w:rPr>
        <w:t>Code</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selected</w:t>
      </w:r>
      <w:proofErr w:type="spellEnd"/>
      <w:r w:rsidR="006F2DE9">
        <w:rPr>
          <w:rFonts w:ascii="Arial" w:hAnsi="Arial" w:cs="Arial"/>
          <w:bCs/>
          <w:sz w:val="18"/>
          <w:szCs w:val="18"/>
        </w:rPr>
        <w:t xml:space="preserve"> </w:t>
      </w:r>
      <w:proofErr w:type="spellStart"/>
      <w:r w:rsidR="006F2DE9">
        <w:rPr>
          <w:rFonts w:ascii="Arial" w:hAnsi="Arial" w:cs="Arial"/>
          <w:bCs/>
          <w:sz w:val="18"/>
          <w:szCs w:val="18"/>
        </w:rPr>
        <w:t>articles</w:t>
      </w:r>
      <w:proofErr w:type="spellEnd"/>
      <w:r w:rsidR="006F2DE9">
        <w:rPr>
          <w:rFonts w:ascii="Arial" w:hAnsi="Arial" w:cs="Arial"/>
          <w:bCs/>
          <w:sz w:val="18"/>
          <w:szCs w:val="18"/>
        </w:rPr>
        <w:t>)</w:t>
      </w:r>
    </w:p>
    <w:p w14:paraId="7548399F" w14:textId="363AE745" w:rsidR="00EF165B" w:rsidRDefault="00EF165B" w:rsidP="00EF165B">
      <w:pPr>
        <w:spacing w:after="0"/>
        <w:rPr>
          <w:rFonts w:ascii="Arial" w:hAnsi="Arial" w:cs="Arial"/>
          <w:sz w:val="18"/>
          <w:szCs w:val="18"/>
          <w:lang w:val="en-GB"/>
        </w:rPr>
      </w:pPr>
      <w:r>
        <w:rPr>
          <w:rFonts w:ascii="Arial" w:hAnsi="Arial" w:cs="Arial"/>
          <w:sz w:val="18"/>
          <w:szCs w:val="18"/>
          <w:lang w:val="en-GB"/>
        </w:rPr>
        <w:t>Lithuanian Law on Financial Institutions</w:t>
      </w:r>
      <w:r w:rsidR="006F2DE9">
        <w:rPr>
          <w:rFonts w:ascii="Arial" w:hAnsi="Arial" w:cs="Arial"/>
          <w:sz w:val="18"/>
          <w:szCs w:val="18"/>
          <w:lang w:val="en-GB"/>
        </w:rPr>
        <w:t xml:space="preserve"> </w:t>
      </w:r>
      <w:r w:rsidR="006F2DE9">
        <w:rPr>
          <w:rFonts w:ascii="Arial" w:hAnsi="Arial" w:cs="Arial"/>
          <w:bCs/>
          <w:sz w:val="18"/>
          <w:szCs w:val="18"/>
        </w:rPr>
        <w:t>(selected articles)</w:t>
      </w:r>
    </w:p>
    <w:p w14:paraId="5A5B63C2" w14:textId="49AC7150" w:rsidR="00EF165B" w:rsidRDefault="00EF165B" w:rsidP="00EF165B">
      <w:pPr>
        <w:spacing w:after="0"/>
        <w:rPr>
          <w:rFonts w:ascii="Arial" w:hAnsi="Arial" w:cs="Arial"/>
          <w:sz w:val="18"/>
          <w:szCs w:val="18"/>
          <w:lang w:val="en-GB"/>
        </w:rPr>
      </w:pPr>
      <w:r>
        <w:rPr>
          <w:rFonts w:ascii="Arial" w:hAnsi="Arial" w:cs="Arial"/>
          <w:sz w:val="18"/>
          <w:szCs w:val="18"/>
          <w:lang w:val="en-GB"/>
        </w:rPr>
        <w:t>Lithuanian Law on Payments</w:t>
      </w:r>
      <w:r w:rsidR="006F2DE9">
        <w:rPr>
          <w:rFonts w:ascii="Arial" w:hAnsi="Arial" w:cs="Arial"/>
          <w:sz w:val="18"/>
          <w:szCs w:val="18"/>
          <w:lang w:val="en-GB"/>
        </w:rPr>
        <w:t xml:space="preserve"> </w:t>
      </w:r>
      <w:r w:rsidR="006F2DE9">
        <w:rPr>
          <w:rFonts w:ascii="Arial" w:hAnsi="Arial" w:cs="Arial"/>
          <w:bCs/>
          <w:sz w:val="18"/>
          <w:szCs w:val="18"/>
        </w:rPr>
        <w:t>(selected articles)</w:t>
      </w:r>
    </w:p>
    <w:p w14:paraId="75A18BFE" w14:textId="77777777" w:rsidR="00EF165B" w:rsidRPr="00114104" w:rsidRDefault="00EF165B" w:rsidP="00EF165B">
      <w:pPr>
        <w:pStyle w:val="metod"/>
        <w:ind w:firstLine="0"/>
        <w:jc w:val="both"/>
        <w:rPr>
          <w:rFonts w:ascii="Arial" w:hAnsi="Arial" w:cs="Arial"/>
          <w:sz w:val="18"/>
          <w:szCs w:val="18"/>
          <w:lang w:val="en-US"/>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7CCBC8B4" w14:textId="7783DD88" w:rsidR="00EF165B" w:rsidRDefault="00EF165B" w:rsidP="00EF165B">
      <w:pPr>
        <w:spacing w:after="0"/>
        <w:rPr>
          <w:rFonts w:ascii="Arial" w:hAnsi="Arial" w:cs="Arial"/>
          <w:b/>
          <w:sz w:val="18"/>
          <w:szCs w:val="18"/>
        </w:rPr>
      </w:pPr>
      <w:proofErr w:type="spellStart"/>
      <w:r w:rsidRPr="001E2881">
        <w:rPr>
          <w:rFonts w:ascii="Arial" w:hAnsi="Arial" w:cs="Arial"/>
          <w:bCs/>
          <w:i/>
          <w:iCs/>
          <w:sz w:val="18"/>
          <w:szCs w:val="18"/>
        </w:rPr>
        <w:t>Kraakman</w:t>
      </w:r>
      <w:proofErr w:type="spellEnd"/>
      <w:r w:rsidRPr="001E2881">
        <w:rPr>
          <w:rFonts w:ascii="Arial" w:hAnsi="Arial" w:cs="Arial"/>
          <w:bCs/>
          <w:i/>
          <w:iCs/>
          <w:sz w:val="18"/>
          <w:szCs w:val="18"/>
        </w:rPr>
        <w:t>, et al</w:t>
      </w:r>
      <w:r>
        <w:rPr>
          <w:rFonts w:ascii="Arial" w:hAnsi="Arial" w:cs="Arial"/>
          <w:bCs/>
          <w:sz w:val="18"/>
          <w:szCs w:val="18"/>
        </w:rPr>
        <w:t xml:space="preserve">. </w:t>
      </w:r>
      <w:r w:rsidRPr="004A749D">
        <w:rPr>
          <w:rFonts w:ascii="Arial" w:hAnsi="Arial" w:cs="Arial"/>
          <w:bCs/>
          <w:sz w:val="18"/>
          <w:szCs w:val="18"/>
        </w:rPr>
        <w:t>The Anatomy of Corporate Law</w:t>
      </w:r>
      <w:r>
        <w:rPr>
          <w:rFonts w:ascii="Arial" w:hAnsi="Arial" w:cs="Arial"/>
          <w:bCs/>
          <w:sz w:val="18"/>
          <w:szCs w:val="18"/>
        </w:rPr>
        <w:t xml:space="preserve">: </w:t>
      </w:r>
      <w:r w:rsidRPr="004A749D">
        <w:rPr>
          <w:rFonts w:ascii="Arial" w:hAnsi="Arial" w:cs="Arial"/>
          <w:bCs/>
          <w:sz w:val="18"/>
          <w:szCs w:val="18"/>
        </w:rPr>
        <w:t>A Comparative and Functional Approach</w:t>
      </w:r>
      <w:r>
        <w:rPr>
          <w:rFonts w:ascii="Arial" w:hAnsi="Arial" w:cs="Arial"/>
          <w:bCs/>
          <w:sz w:val="18"/>
          <w:szCs w:val="18"/>
        </w:rPr>
        <w:t xml:space="preserve"> </w:t>
      </w:r>
    </w:p>
    <w:p w14:paraId="0B36595A" w14:textId="1C948401" w:rsidR="00EF165B" w:rsidRDefault="00EF165B" w:rsidP="00EF165B">
      <w:pPr>
        <w:spacing w:after="0"/>
        <w:rPr>
          <w:rFonts w:ascii="Arial" w:hAnsi="Arial" w:cs="Arial"/>
          <w:bCs/>
          <w:sz w:val="18"/>
          <w:szCs w:val="18"/>
        </w:rPr>
      </w:pPr>
      <w:r w:rsidRPr="009A48D7">
        <w:rPr>
          <w:rFonts w:ascii="Arial" w:hAnsi="Arial" w:cs="Arial"/>
          <w:bCs/>
          <w:i/>
          <w:iCs/>
          <w:sz w:val="18"/>
          <w:szCs w:val="18"/>
        </w:rPr>
        <w:t>H. Beale, et al</w:t>
      </w:r>
      <w:r w:rsidRPr="009A48D7">
        <w:rPr>
          <w:rFonts w:ascii="Arial" w:hAnsi="Arial" w:cs="Arial"/>
          <w:bCs/>
          <w:sz w:val="18"/>
          <w:szCs w:val="18"/>
        </w:rPr>
        <w:t xml:space="preserve">. Cases, Materials and Text on Contract Law: </w:t>
      </w:r>
      <w:proofErr w:type="spellStart"/>
      <w:r w:rsidRPr="009A48D7">
        <w:rPr>
          <w:rFonts w:ascii="Arial" w:hAnsi="Arial" w:cs="Arial"/>
          <w:bCs/>
          <w:sz w:val="18"/>
          <w:szCs w:val="18"/>
        </w:rPr>
        <w:t>Ius</w:t>
      </w:r>
      <w:proofErr w:type="spellEnd"/>
      <w:r w:rsidRPr="009A48D7">
        <w:rPr>
          <w:rFonts w:ascii="Arial" w:hAnsi="Arial" w:cs="Arial"/>
          <w:bCs/>
          <w:sz w:val="18"/>
          <w:szCs w:val="18"/>
        </w:rPr>
        <w:t xml:space="preserve"> Commune Casebooks for the Common Law of Europe, 2nd Edition.</w:t>
      </w:r>
    </w:p>
    <w:p w14:paraId="6080B0B7" w14:textId="77777777" w:rsidR="00EF165B" w:rsidRPr="00A27500" w:rsidRDefault="00EF165B" w:rsidP="00EF165B">
      <w:pPr>
        <w:spacing w:after="0"/>
        <w:rPr>
          <w:rFonts w:ascii="Arial" w:hAnsi="Arial" w:cs="Arial"/>
          <w:bCs/>
          <w:i/>
          <w:iCs/>
          <w:sz w:val="18"/>
          <w:szCs w:val="18"/>
        </w:rPr>
      </w:pPr>
      <w:r w:rsidRPr="00A27500">
        <w:rPr>
          <w:rFonts w:ascii="Arial" w:hAnsi="Arial" w:cs="Arial"/>
          <w:bCs/>
          <w:i/>
          <w:iCs/>
          <w:sz w:val="18"/>
          <w:szCs w:val="18"/>
        </w:rPr>
        <w:t>Christopher Kuner</w:t>
      </w:r>
      <w:r>
        <w:rPr>
          <w:rFonts w:ascii="Arial" w:hAnsi="Arial" w:cs="Arial"/>
          <w:bCs/>
          <w:i/>
          <w:iCs/>
          <w:sz w:val="18"/>
          <w:szCs w:val="18"/>
        </w:rPr>
        <w:t xml:space="preserve"> et al. </w:t>
      </w:r>
      <w:r w:rsidRPr="00A27500">
        <w:rPr>
          <w:rFonts w:ascii="Arial" w:hAnsi="Arial" w:cs="Arial"/>
          <w:bCs/>
          <w:sz w:val="18"/>
          <w:szCs w:val="18"/>
        </w:rPr>
        <w:t>The EU General Data Protection Regulation (GDPR): A Commentary</w:t>
      </w:r>
      <w:r>
        <w:rPr>
          <w:rFonts w:ascii="Arial" w:hAnsi="Arial" w:cs="Arial"/>
          <w:bCs/>
          <w:sz w:val="18"/>
          <w:szCs w:val="18"/>
        </w:rPr>
        <w:t>.</w:t>
      </w:r>
    </w:p>
    <w:p w14:paraId="44084FDF" w14:textId="77777777" w:rsidR="00EF165B" w:rsidRDefault="00EF165B" w:rsidP="00EF165B">
      <w:pPr>
        <w:spacing w:after="0"/>
        <w:rPr>
          <w:rFonts w:ascii="Arial" w:hAnsi="Arial" w:cs="Arial"/>
          <w:bCs/>
          <w:sz w:val="18"/>
          <w:szCs w:val="18"/>
        </w:rPr>
      </w:pPr>
      <w:r>
        <w:rPr>
          <w:rFonts w:ascii="Arial" w:hAnsi="Arial" w:cs="Arial"/>
          <w:bCs/>
          <w:sz w:val="18"/>
          <w:szCs w:val="18"/>
        </w:rPr>
        <w:t xml:space="preserve">EDPB </w:t>
      </w:r>
      <w:r w:rsidRPr="00A27500">
        <w:rPr>
          <w:rFonts w:ascii="Arial" w:hAnsi="Arial" w:cs="Arial"/>
          <w:bCs/>
          <w:sz w:val="18"/>
          <w:szCs w:val="18"/>
        </w:rPr>
        <w:t>Guidelines 07/2020 on the concepts of controller and processor in the GDPR</w:t>
      </w:r>
    </w:p>
    <w:p w14:paraId="0DECED5D" w14:textId="77777777" w:rsidR="00EF165B" w:rsidRPr="00A27500" w:rsidRDefault="00EF165B" w:rsidP="00EF165B">
      <w:pPr>
        <w:spacing w:after="0"/>
        <w:rPr>
          <w:rFonts w:ascii="Arial" w:hAnsi="Arial" w:cs="Arial"/>
          <w:b/>
          <w:sz w:val="18"/>
          <w:szCs w:val="18"/>
        </w:rPr>
      </w:pPr>
      <w:r>
        <w:rPr>
          <w:rFonts w:ascii="Arial" w:hAnsi="Arial" w:cs="Arial"/>
          <w:bCs/>
          <w:sz w:val="18"/>
          <w:szCs w:val="18"/>
        </w:rPr>
        <w:t xml:space="preserve">EDPB </w:t>
      </w:r>
      <w:r w:rsidRPr="00A27500">
        <w:rPr>
          <w:rFonts w:ascii="Arial" w:hAnsi="Arial" w:cs="Arial"/>
          <w:bCs/>
          <w:sz w:val="18"/>
          <w:szCs w:val="18"/>
        </w:rPr>
        <w:t>Guidelines 05/2020 on consent under Regulation 2016/679</w:t>
      </w:r>
    </w:p>
    <w:p w14:paraId="3E4426C8" w14:textId="77777777" w:rsidR="00EF165B" w:rsidRPr="005F6E02" w:rsidRDefault="00EF165B" w:rsidP="00EF165B">
      <w:pPr>
        <w:spacing w:after="0"/>
        <w:rPr>
          <w:rFonts w:ascii="Arial" w:hAnsi="Arial" w:cs="Arial"/>
          <w:bCs/>
          <w:i/>
          <w:iCs/>
          <w:sz w:val="18"/>
          <w:szCs w:val="18"/>
          <w:lang w:val="en-GB"/>
        </w:rPr>
      </w:pPr>
      <w:r w:rsidRPr="005F6E02">
        <w:rPr>
          <w:rFonts w:ascii="Arial" w:hAnsi="Arial" w:cs="Arial"/>
          <w:bCs/>
          <w:i/>
          <w:iCs/>
          <w:sz w:val="18"/>
          <w:szCs w:val="18"/>
          <w:lang w:val="en-GB"/>
        </w:rPr>
        <w:t>R. Whish</w:t>
      </w:r>
      <w:r w:rsidRPr="005F6E02">
        <w:rPr>
          <w:rFonts w:ascii="Arial" w:hAnsi="Arial" w:cs="Arial"/>
          <w:bCs/>
          <w:sz w:val="18"/>
          <w:szCs w:val="18"/>
          <w:lang w:val="en-GB"/>
        </w:rPr>
        <w:t>. Competition Law.</w:t>
      </w:r>
    </w:p>
    <w:p w14:paraId="0898EBBD" w14:textId="627B46D1" w:rsidR="00EF165B" w:rsidRDefault="00EF165B" w:rsidP="00EF165B">
      <w:pPr>
        <w:spacing w:after="0"/>
        <w:rPr>
          <w:rFonts w:ascii="Arial" w:hAnsi="Arial" w:cs="Arial"/>
          <w:bCs/>
          <w:i/>
          <w:iCs/>
          <w:sz w:val="18"/>
          <w:szCs w:val="18"/>
          <w:lang w:val="fr-FR"/>
        </w:rPr>
      </w:pPr>
      <w:r w:rsidRPr="005F6E02">
        <w:rPr>
          <w:rFonts w:ascii="Arial" w:hAnsi="Arial" w:cs="Arial"/>
          <w:bCs/>
          <w:i/>
          <w:iCs/>
          <w:sz w:val="18"/>
          <w:szCs w:val="18"/>
          <w:lang w:val="en-GB"/>
        </w:rPr>
        <w:t xml:space="preserve">Jones &amp; Sufrin's </w:t>
      </w:r>
      <w:r w:rsidRPr="005F6E02">
        <w:rPr>
          <w:rFonts w:ascii="Arial" w:hAnsi="Arial" w:cs="Arial"/>
          <w:bCs/>
          <w:sz w:val="18"/>
          <w:szCs w:val="18"/>
          <w:lang w:val="en-GB"/>
        </w:rPr>
        <w:t>EU Competition Law</w:t>
      </w:r>
      <w:r w:rsidRPr="005F6E02">
        <w:rPr>
          <w:rFonts w:ascii="Arial" w:hAnsi="Arial" w:cs="Arial"/>
          <w:bCs/>
          <w:i/>
          <w:iCs/>
          <w:sz w:val="18"/>
          <w:szCs w:val="18"/>
          <w:lang w:val="fr-FR"/>
        </w:rPr>
        <w:t>.</w:t>
      </w:r>
    </w:p>
    <w:p w14:paraId="3D517C5C" w14:textId="7A9BDF9C" w:rsidR="00EF165B" w:rsidRPr="00996F09" w:rsidRDefault="00EF165B" w:rsidP="00EF165B">
      <w:pPr>
        <w:spacing w:after="0"/>
        <w:rPr>
          <w:rFonts w:ascii="Arial" w:hAnsi="Arial" w:cs="Arial"/>
          <w:sz w:val="18"/>
          <w:szCs w:val="18"/>
        </w:rPr>
      </w:pPr>
      <w:r w:rsidRPr="00996F09">
        <w:rPr>
          <w:rFonts w:ascii="Arial" w:hAnsi="Arial" w:cs="Arial"/>
          <w:bCs/>
          <w:i/>
          <w:iCs/>
          <w:sz w:val="18"/>
          <w:szCs w:val="18"/>
          <w:lang w:val="en-GB"/>
        </w:rPr>
        <w:t>IBFD</w:t>
      </w:r>
      <w:r w:rsidRPr="00996F09">
        <w:rPr>
          <w:rFonts w:ascii="Arial" w:hAnsi="Arial" w:cs="Arial"/>
          <w:bCs/>
          <w:sz w:val="18"/>
          <w:szCs w:val="18"/>
          <w:lang w:val="en-GB"/>
        </w:rPr>
        <w:t xml:space="preserve"> “</w:t>
      </w:r>
      <w:r w:rsidRPr="00996F09">
        <w:rPr>
          <w:rFonts w:ascii="Arial" w:hAnsi="Arial" w:cs="Arial"/>
          <w:sz w:val="18"/>
          <w:szCs w:val="18"/>
        </w:rPr>
        <w:t xml:space="preserve">Key Tax Features of Member Countries” </w:t>
      </w:r>
    </w:p>
    <w:p w14:paraId="2E58B723" w14:textId="7A1CB2DB" w:rsidR="00EF165B" w:rsidRDefault="00EF165B" w:rsidP="00EF165B">
      <w:pPr>
        <w:spacing w:after="0"/>
        <w:rPr>
          <w:rFonts w:ascii="Arial" w:hAnsi="Arial" w:cs="Arial"/>
          <w:b/>
          <w:sz w:val="18"/>
          <w:szCs w:val="18"/>
        </w:rPr>
      </w:pPr>
      <w:r w:rsidRPr="00996F09">
        <w:rPr>
          <w:rFonts w:ascii="Arial" w:hAnsi="Arial" w:cs="Arial"/>
          <w:bCs/>
          <w:i/>
          <w:iCs/>
          <w:sz w:val="18"/>
          <w:szCs w:val="18"/>
          <w:lang w:val="en-GB"/>
        </w:rPr>
        <w:t>IBFD</w:t>
      </w:r>
      <w:r w:rsidRPr="00996F09">
        <w:rPr>
          <w:rFonts w:ascii="Arial" w:hAnsi="Arial" w:cs="Arial"/>
          <w:bCs/>
          <w:sz w:val="18"/>
          <w:szCs w:val="18"/>
          <w:lang w:val="en-GB"/>
        </w:rPr>
        <w:t xml:space="preserve"> “</w:t>
      </w:r>
      <w:r w:rsidRPr="00996F09">
        <w:rPr>
          <w:rFonts w:ascii="Arial" w:hAnsi="Arial" w:cs="Arial"/>
          <w:sz w:val="18"/>
          <w:szCs w:val="18"/>
        </w:rPr>
        <w:t>OECD Model Tax Convention on Income and on Capital”.</w:t>
      </w:r>
    </w:p>
    <w:p w14:paraId="73DB17FF" w14:textId="77777777" w:rsidR="004C23CF" w:rsidRDefault="004C23CF" w:rsidP="004C23CF">
      <w:pPr>
        <w:spacing w:after="0"/>
        <w:rPr>
          <w:rFonts w:ascii="Arial" w:hAnsi="Arial" w:cs="Arial"/>
          <w:bCs/>
          <w:sz w:val="18"/>
          <w:szCs w:val="18"/>
        </w:rPr>
      </w:pPr>
      <w:r w:rsidRPr="00697D9A">
        <w:rPr>
          <w:rFonts w:ascii="Arial" w:hAnsi="Arial" w:cs="Arial"/>
          <w:bCs/>
          <w:sz w:val="18"/>
          <w:szCs w:val="18"/>
        </w:rPr>
        <w:t>A comparison of laws in selected EU jurisdictions relating to post-contractual, non-competition agreements between employers and employees</w:t>
      </w:r>
      <w:r>
        <w:rPr>
          <w:rFonts w:ascii="Arial" w:hAnsi="Arial" w:cs="Arial"/>
          <w:bCs/>
          <w:sz w:val="18"/>
          <w:szCs w:val="18"/>
        </w:rPr>
        <w:t xml:space="preserve"> (</w:t>
      </w:r>
      <w:hyperlink r:id="rId14" w:history="1">
        <w:r w:rsidRPr="00697D9A">
          <w:rPr>
            <w:rStyle w:val="Hyperlink"/>
            <w:rFonts w:ascii="Arial" w:hAnsi="Arial" w:cs="Arial"/>
            <w:bCs/>
            <w:sz w:val="18"/>
            <w:szCs w:val="18"/>
          </w:rPr>
          <w:t>link</w:t>
        </w:r>
      </w:hyperlink>
      <w:r>
        <w:rPr>
          <w:rFonts w:ascii="Arial" w:hAnsi="Arial" w:cs="Arial"/>
          <w:bCs/>
          <w:sz w:val="18"/>
          <w:szCs w:val="18"/>
        </w:rPr>
        <w:t>)</w:t>
      </w:r>
    </w:p>
    <w:p w14:paraId="10F5C72F" w14:textId="77777777" w:rsidR="004C23CF" w:rsidRDefault="004C23CF" w:rsidP="004C23CF">
      <w:pPr>
        <w:spacing w:after="0"/>
        <w:rPr>
          <w:rFonts w:ascii="Arial" w:hAnsi="Arial" w:cs="Arial"/>
          <w:bCs/>
          <w:sz w:val="18"/>
          <w:szCs w:val="18"/>
        </w:rPr>
      </w:pPr>
      <w:r w:rsidRPr="00697D9A">
        <w:rPr>
          <w:rFonts w:ascii="Arial" w:hAnsi="Arial" w:cs="Arial"/>
          <w:bCs/>
          <w:sz w:val="18"/>
          <w:szCs w:val="18"/>
        </w:rPr>
        <w:t>New proposals on non-compete clauses in Finland: what will change for employers?</w:t>
      </w:r>
      <w:r>
        <w:rPr>
          <w:rFonts w:ascii="Arial" w:hAnsi="Arial" w:cs="Arial"/>
          <w:bCs/>
          <w:sz w:val="18"/>
          <w:szCs w:val="18"/>
        </w:rPr>
        <w:t xml:space="preserve"> (</w:t>
      </w:r>
      <w:hyperlink r:id="rId15" w:history="1">
        <w:r w:rsidRPr="003A5F58">
          <w:rPr>
            <w:rStyle w:val="Hyperlink"/>
            <w:rFonts w:ascii="Arial" w:hAnsi="Arial" w:cs="Arial"/>
            <w:bCs/>
            <w:sz w:val="18"/>
            <w:szCs w:val="18"/>
          </w:rPr>
          <w:t>link</w:t>
        </w:r>
      </w:hyperlink>
      <w:r>
        <w:rPr>
          <w:rFonts w:ascii="Arial" w:hAnsi="Arial" w:cs="Arial"/>
          <w:bCs/>
          <w:sz w:val="18"/>
          <w:szCs w:val="18"/>
        </w:rPr>
        <w:t>)</w:t>
      </w:r>
    </w:p>
    <w:p w14:paraId="3FE721C1" w14:textId="18D69196" w:rsidR="004C23CF" w:rsidRPr="000106C5" w:rsidRDefault="004C23CF" w:rsidP="004C23CF">
      <w:pPr>
        <w:pStyle w:val="Heading1"/>
        <w:shd w:val="clear" w:color="auto" w:fill="FFFFFF"/>
        <w:spacing w:before="0" w:after="0" w:line="240" w:lineRule="auto"/>
        <w:rPr>
          <w:rFonts w:ascii="Arial" w:hAnsi="Arial" w:cs="Arial"/>
          <w:b w:val="0"/>
          <w:kern w:val="0"/>
          <w:sz w:val="18"/>
          <w:szCs w:val="18"/>
          <w:lang w:val="en-GB"/>
        </w:rPr>
      </w:pPr>
      <w:r w:rsidRPr="000106C5">
        <w:rPr>
          <w:rFonts w:ascii="Arial" w:hAnsi="Arial" w:cs="Arial"/>
          <w:b w:val="0"/>
          <w:i/>
          <w:iCs/>
          <w:sz w:val="18"/>
          <w:szCs w:val="18"/>
          <w:lang w:val="en-GB"/>
        </w:rPr>
        <w:t>J</w:t>
      </w:r>
      <w:r w:rsidRPr="000106C5">
        <w:rPr>
          <w:rFonts w:ascii="Arial" w:hAnsi="Arial" w:cs="Arial"/>
          <w:b w:val="0"/>
          <w:i/>
          <w:iCs/>
          <w:kern w:val="0"/>
          <w:sz w:val="18"/>
          <w:szCs w:val="18"/>
          <w:lang w:val="en-GB"/>
        </w:rPr>
        <w:t>. Nolon</w:t>
      </w:r>
      <w:r w:rsidRPr="000106C5">
        <w:rPr>
          <w:rFonts w:ascii="Arial" w:hAnsi="Arial" w:cs="Arial"/>
          <w:b w:val="0"/>
          <w:kern w:val="0"/>
          <w:sz w:val="18"/>
          <w:szCs w:val="18"/>
          <w:lang w:val="en-GB"/>
        </w:rPr>
        <w:t xml:space="preserve"> </w:t>
      </w:r>
      <w:r w:rsidRPr="000106C5">
        <w:rPr>
          <w:rFonts w:ascii="Arial" w:hAnsi="Arial" w:cs="Arial"/>
          <w:b w:val="0"/>
          <w:i/>
          <w:iCs/>
          <w:kern w:val="0"/>
          <w:sz w:val="18"/>
          <w:szCs w:val="18"/>
          <w:lang w:val="en-GB"/>
        </w:rPr>
        <w:t>et al</w:t>
      </w:r>
      <w:r w:rsidR="006F2DE9">
        <w:rPr>
          <w:rFonts w:ascii="Arial" w:hAnsi="Arial" w:cs="Arial"/>
          <w:b w:val="0"/>
          <w:i/>
          <w:iCs/>
          <w:kern w:val="0"/>
          <w:sz w:val="18"/>
          <w:szCs w:val="18"/>
          <w:lang w:val="en-GB"/>
        </w:rPr>
        <w:t>.</w:t>
      </w:r>
      <w:r w:rsidRPr="000106C5">
        <w:rPr>
          <w:rFonts w:ascii="Arial" w:hAnsi="Arial" w:cs="Arial"/>
          <w:b w:val="0"/>
          <w:kern w:val="0"/>
          <w:sz w:val="18"/>
          <w:szCs w:val="18"/>
          <w:lang w:val="en-GB"/>
        </w:rPr>
        <w:t xml:space="preserve"> Land Use and Sustainable Development Law, Cases and Materials</w:t>
      </w:r>
    </w:p>
    <w:p w14:paraId="47B8A80F" w14:textId="120CD28B" w:rsidR="00DB6F63" w:rsidRPr="00FB6408" w:rsidRDefault="00DB6F63" w:rsidP="004C23CF">
      <w:pPr>
        <w:spacing w:after="0"/>
        <w:rPr>
          <w:rFonts w:ascii="Arial" w:hAnsi="Arial" w:cs="Arial"/>
          <w:sz w:val="18"/>
          <w:szCs w:val="18"/>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6"/>
      <w:footerReference w:type="default" r:id="rId17"/>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C9832" w14:textId="77777777" w:rsidR="005951E4" w:rsidRDefault="005951E4" w:rsidP="00062544">
      <w:pPr>
        <w:spacing w:after="0" w:line="240" w:lineRule="auto"/>
      </w:pPr>
      <w:r>
        <w:separator/>
      </w:r>
    </w:p>
  </w:endnote>
  <w:endnote w:type="continuationSeparator" w:id="0">
    <w:p w14:paraId="36FA100E" w14:textId="77777777" w:rsidR="005951E4" w:rsidRDefault="005951E4" w:rsidP="00062544">
      <w:pPr>
        <w:spacing w:after="0" w:line="240" w:lineRule="auto"/>
      </w:pPr>
      <w:r>
        <w:continuationSeparator/>
      </w:r>
    </w:p>
  </w:endnote>
  <w:endnote w:type="continuationNotice" w:id="1">
    <w:p w14:paraId="759BCA4D" w14:textId="77777777" w:rsidR="005951E4" w:rsidRDefault="00595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28C50" w14:textId="77777777" w:rsidR="005951E4" w:rsidRDefault="005951E4" w:rsidP="00062544">
      <w:pPr>
        <w:spacing w:after="0" w:line="240" w:lineRule="auto"/>
      </w:pPr>
      <w:r>
        <w:separator/>
      </w:r>
    </w:p>
  </w:footnote>
  <w:footnote w:type="continuationSeparator" w:id="0">
    <w:p w14:paraId="057B55B7" w14:textId="77777777" w:rsidR="005951E4" w:rsidRDefault="005951E4" w:rsidP="00062544">
      <w:pPr>
        <w:spacing w:after="0" w:line="240" w:lineRule="auto"/>
      </w:pPr>
      <w:r>
        <w:continuationSeparator/>
      </w:r>
    </w:p>
  </w:footnote>
  <w:footnote w:type="continuationNotice" w:id="1">
    <w:p w14:paraId="5D9295D0" w14:textId="77777777" w:rsidR="005951E4" w:rsidRDefault="005951E4">
      <w:pPr>
        <w:spacing w:after="0" w:line="240" w:lineRule="auto"/>
      </w:pPr>
    </w:p>
  </w:footnote>
  <w:footnote w:id="2">
    <w:p w14:paraId="2F901F31" w14:textId="7B3D719A" w:rsidR="009F71E3" w:rsidRPr="0058506B" w:rsidRDefault="009F71E3">
      <w:pPr>
        <w:pStyle w:val="FootnoteText"/>
        <w:rPr>
          <w:rFonts w:ascii="Arial" w:hAnsi="Arial" w:cs="Arial"/>
          <w:sz w:val="18"/>
          <w:szCs w:val="18"/>
        </w:rPr>
      </w:pPr>
      <w:r w:rsidRPr="0058506B">
        <w:rPr>
          <w:rStyle w:val="FootnoteReference"/>
          <w:rFonts w:ascii="Arial" w:hAnsi="Arial" w:cs="Arial"/>
          <w:sz w:val="18"/>
          <w:szCs w:val="18"/>
        </w:rPr>
        <w:footnoteRef/>
      </w:r>
      <w:r w:rsidRPr="0058506B">
        <w:rPr>
          <w:rFonts w:ascii="Arial" w:hAnsi="Arial" w:cs="Arial"/>
          <w:sz w:val="18"/>
          <w:szCs w:val="18"/>
        </w:rPr>
        <w:t xml:space="preserve"> The order</w:t>
      </w:r>
      <w:r w:rsidR="0058506B">
        <w:rPr>
          <w:rFonts w:ascii="Arial" w:hAnsi="Arial" w:cs="Arial"/>
          <w:sz w:val="18"/>
          <w:szCs w:val="18"/>
        </w:rPr>
        <w:t xml:space="preserve"> in which the</w:t>
      </w:r>
      <w:r w:rsidRPr="0058506B">
        <w:rPr>
          <w:rFonts w:ascii="Arial" w:hAnsi="Arial" w:cs="Arial"/>
          <w:sz w:val="18"/>
          <w:szCs w:val="18"/>
        </w:rPr>
        <w:t xml:space="preserve"> topics </w:t>
      </w:r>
      <w:r w:rsidR="0058506B">
        <w:rPr>
          <w:rFonts w:ascii="Arial" w:hAnsi="Arial" w:cs="Arial"/>
          <w:sz w:val="18"/>
          <w:szCs w:val="18"/>
        </w:rPr>
        <w:t xml:space="preserve">are taught </w:t>
      </w:r>
      <w:r w:rsidRPr="0058506B">
        <w:rPr>
          <w:rFonts w:ascii="Arial" w:hAnsi="Arial" w:cs="Arial"/>
          <w:sz w:val="18"/>
          <w:szCs w:val="18"/>
        </w:rPr>
        <w:t>may change without notice</w:t>
      </w:r>
    </w:p>
  </w:footnote>
  <w:footnote w:id="3">
    <w:p w14:paraId="7B058164" w14:textId="6A659217" w:rsidR="00E02DA5" w:rsidRPr="009F71E3" w:rsidRDefault="00E02DA5">
      <w:pPr>
        <w:pStyle w:val="FootnoteText"/>
        <w:rPr>
          <w:rFonts w:ascii="Arial" w:hAnsi="Arial" w:cs="Arial"/>
        </w:rPr>
      </w:pPr>
      <w:r w:rsidRPr="0058506B">
        <w:rPr>
          <w:rStyle w:val="FootnoteReference"/>
          <w:rFonts w:ascii="Arial" w:hAnsi="Arial" w:cs="Arial"/>
          <w:sz w:val="18"/>
          <w:szCs w:val="18"/>
        </w:rPr>
        <w:footnoteRef/>
      </w:r>
      <w:r w:rsidRPr="0058506B">
        <w:rPr>
          <w:rFonts w:ascii="Arial" w:hAnsi="Arial" w:cs="Arial"/>
          <w:sz w:val="18"/>
          <w:szCs w:val="18"/>
        </w:rPr>
        <w:t xml:space="preserve"> Subject to change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CA7676"/>
    <w:multiLevelType w:val="hybridMultilevel"/>
    <w:tmpl w:val="DDA22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7773050">
    <w:abstractNumId w:val="13"/>
  </w:num>
  <w:num w:numId="2" w16cid:durableId="373896681">
    <w:abstractNumId w:val="11"/>
  </w:num>
  <w:num w:numId="3" w16cid:durableId="278877314">
    <w:abstractNumId w:val="6"/>
  </w:num>
  <w:num w:numId="4" w16cid:durableId="71204224">
    <w:abstractNumId w:val="1"/>
  </w:num>
  <w:num w:numId="5" w16cid:durableId="1217666031">
    <w:abstractNumId w:val="25"/>
  </w:num>
  <w:num w:numId="6" w16cid:durableId="130901823">
    <w:abstractNumId w:val="5"/>
  </w:num>
  <w:num w:numId="7" w16cid:durableId="1680237487">
    <w:abstractNumId w:val="10"/>
  </w:num>
  <w:num w:numId="8" w16cid:durableId="1230385364">
    <w:abstractNumId w:val="30"/>
  </w:num>
  <w:num w:numId="9" w16cid:durableId="886067237">
    <w:abstractNumId w:val="21"/>
  </w:num>
  <w:num w:numId="10" w16cid:durableId="422334537">
    <w:abstractNumId w:val="8"/>
  </w:num>
  <w:num w:numId="11" w16cid:durableId="952786073">
    <w:abstractNumId w:val="20"/>
  </w:num>
  <w:num w:numId="12" w16cid:durableId="1208374302">
    <w:abstractNumId w:val="4"/>
  </w:num>
  <w:num w:numId="13" w16cid:durableId="941301511">
    <w:abstractNumId w:val="29"/>
  </w:num>
  <w:num w:numId="14" w16cid:durableId="1469711931">
    <w:abstractNumId w:val="9"/>
  </w:num>
  <w:num w:numId="15" w16cid:durableId="608927582">
    <w:abstractNumId w:val="7"/>
  </w:num>
  <w:num w:numId="16" w16cid:durableId="544220496">
    <w:abstractNumId w:val="3"/>
  </w:num>
  <w:num w:numId="17" w16cid:durableId="2058119095">
    <w:abstractNumId w:val="22"/>
  </w:num>
  <w:num w:numId="18" w16cid:durableId="603418462">
    <w:abstractNumId w:val="28"/>
  </w:num>
  <w:num w:numId="19" w16cid:durableId="305667356">
    <w:abstractNumId w:val="19"/>
  </w:num>
  <w:num w:numId="20" w16cid:durableId="535388357">
    <w:abstractNumId w:val="16"/>
  </w:num>
  <w:num w:numId="21" w16cid:durableId="1885406135">
    <w:abstractNumId w:val="26"/>
  </w:num>
  <w:num w:numId="22" w16cid:durableId="732703973">
    <w:abstractNumId w:val="2"/>
  </w:num>
  <w:num w:numId="23" w16cid:durableId="1045444066">
    <w:abstractNumId w:val="24"/>
  </w:num>
  <w:num w:numId="24" w16cid:durableId="1161311897">
    <w:abstractNumId w:val="17"/>
  </w:num>
  <w:num w:numId="25" w16cid:durableId="1760056865">
    <w:abstractNumId w:val="27"/>
  </w:num>
  <w:num w:numId="26" w16cid:durableId="327634950">
    <w:abstractNumId w:val="12"/>
  </w:num>
  <w:num w:numId="27" w16cid:durableId="122502947">
    <w:abstractNumId w:val="14"/>
  </w:num>
  <w:num w:numId="28" w16cid:durableId="1363050297">
    <w:abstractNumId w:val="18"/>
  </w:num>
  <w:num w:numId="29" w16cid:durableId="1152328286">
    <w:abstractNumId w:val="0"/>
  </w:num>
  <w:num w:numId="30" w16cid:durableId="1370565262">
    <w:abstractNumId w:val="15"/>
  </w:num>
  <w:num w:numId="31" w16cid:durableId="161783281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wUAb2OdziwAAAA="/>
  </w:docVars>
  <w:rsids>
    <w:rsidRoot w:val="00202EE2"/>
    <w:rsid w:val="000006A5"/>
    <w:rsid w:val="00001603"/>
    <w:rsid w:val="00002A52"/>
    <w:rsid w:val="0001451B"/>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378A5"/>
    <w:rsid w:val="001427D2"/>
    <w:rsid w:val="001453F4"/>
    <w:rsid w:val="00147366"/>
    <w:rsid w:val="001474D8"/>
    <w:rsid w:val="0015562F"/>
    <w:rsid w:val="00161BC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2881"/>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90F"/>
    <w:rsid w:val="00280BC2"/>
    <w:rsid w:val="00287DF4"/>
    <w:rsid w:val="00292B9B"/>
    <w:rsid w:val="002A0EC8"/>
    <w:rsid w:val="002A19F1"/>
    <w:rsid w:val="002A1FD6"/>
    <w:rsid w:val="002A43E6"/>
    <w:rsid w:val="002A4CFF"/>
    <w:rsid w:val="002B1BF4"/>
    <w:rsid w:val="002B2CD8"/>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580D"/>
    <w:rsid w:val="00331056"/>
    <w:rsid w:val="00335D17"/>
    <w:rsid w:val="00336CAD"/>
    <w:rsid w:val="00340853"/>
    <w:rsid w:val="00345D95"/>
    <w:rsid w:val="00346C65"/>
    <w:rsid w:val="003534D2"/>
    <w:rsid w:val="00354FEF"/>
    <w:rsid w:val="00357246"/>
    <w:rsid w:val="00357461"/>
    <w:rsid w:val="00363C77"/>
    <w:rsid w:val="003648D7"/>
    <w:rsid w:val="003656CE"/>
    <w:rsid w:val="00365E77"/>
    <w:rsid w:val="00372FA3"/>
    <w:rsid w:val="003908B9"/>
    <w:rsid w:val="00397400"/>
    <w:rsid w:val="003A3473"/>
    <w:rsid w:val="003A372D"/>
    <w:rsid w:val="003A5F58"/>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96E83"/>
    <w:rsid w:val="004A022A"/>
    <w:rsid w:val="004A239B"/>
    <w:rsid w:val="004A387B"/>
    <w:rsid w:val="004A3C83"/>
    <w:rsid w:val="004A60B8"/>
    <w:rsid w:val="004A613C"/>
    <w:rsid w:val="004A749D"/>
    <w:rsid w:val="004B14EF"/>
    <w:rsid w:val="004B1653"/>
    <w:rsid w:val="004C23CF"/>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3AE2"/>
    <w:rsid w:val="0056716D"/>
    <w:rsid w:val="005757B1"/>
    <w:rsid w:val="00583B26"/>
    <w:rsid w:val="00583E05"/>
    <w:rsid w:val="0058506B"/>
    <w:rsid w:val="00587757"/>
    <w:rsid w:val="00593C8E"/>
    <w:rsid w:val="00593C90"/>
    <w:rsid w:val="00594388"/>
    <w:rsid w:val="00594FFF"/>
    <w:rsid w:val="005951E4"/>
    <w:rsid w:val="00597E8C"/>
    <w:rsid w:val="005C1096"/>
    <w:rsid w:val="005C31A5"/>
    <w:rsid w:val="005C3585"/>
    <w:rsid w:val="005D25F3"/>
    <w:rsid w:val="005D6BFC"/>
    <w:rsid w:val="005E0D68"/>
    <w:rsid w:val="005E725F"/>
    <w:rsid w:val="005F2538"/>
    <w:rsid w:val="005F3244"/>
    <w:rsid w:val="005F38E9"/>
    <w:rsid w:val="005F5CBD"/>
    <w:rsid w:val="005F6E02"/>
    <w:rsid w:val="006074AE"/>
    <w:rsid w:val="00621339"/>
    <w:rsid w:val="0062307C"/>
    <w:rsid w:val="00624144"/>
    <w:rsid w:val="0063355B"/>
    <w:rsid w:val="00640E6B"/>
    <w:rsid w:val="00644DA7"/>
    <w:rsid w:val="00651500"/>
    <w:rsid w:val="006521BF"/>
    <w:rsid w:val="006569C9"/>
    <w:rsid w:val="006645F8"/>
    <w:rsid w:val="0066525F"/>
    <w:rsid w:val="00671961"/>
    <w:rsid w:val="006753AD"/>
    <w:rsid w:val="00680AE5"/>
    <w:rsid w:val="00680BAA"/>
    <w:rsid w:val="006852A1"/>
    <w:rsid w:val="006856CD"/>
    <w:rsid w:val="006928A9"/>
    <w:rsid w:val="00697D9A"/>
    <w:rsid w:val="006A0B7A"/>
    <w:rsid w:val="006A0CD9"/>
    <w:rsid w:val="006A29B8"/>
    <w:rsid w:val="006A3548"/>
    <w:rsid w:val="006A6032"/>
    <w:rsid w:val="006A6048"/>
    <w:rsid w:val="006B2A47"/>
    <w:rsid w:val="006B41D0"/>
    <w:rsid w:val="006B5D72"/>
    <w:rsid w:val="006C09C0"/>
    <w:rsid w:val="006C0FEF"/>
    <w:rsid w:val="006C27CA"/>
    <w:rsid w:val="006C523F"/>
    <w:rsid w:val="006D1AA7"/>
    <w:rsid w:val="006D36EF"/>
    <w:rsid w:val="006D5405"/>
    <w:rsid w:val="006E5189"/>
    <w:rsid w:val="006F2DE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44FBD"/>
    <w:rsid w:val="007509B5"/>
    <w:rsid w:val="00753747"/>
    <w:rsid w:val="00762531"/>
    <w:rsid w:val="0076271F"/>
    <w:rsid w:val="0076339C"/>
    <w:rsid w:val="00765925"/>
    <w:rsid w:val="00766E48"/>
    <w:rsid w:val="007752DD"/>
    <w:rsid w:val="007849F0"/>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7F783D"/>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A5B92"/>
    <w:rsid w:val="008B797C"/>
    <w:rsid w:val="008B7D8C"/>
    <w:rsid w:val="008C20EF"/>
    <w:rsid w:val="008E2353"/>
    <w:rsid w:val="008F37B8"/>
    <w:rsid w:val="008F3A76"/>
    <w:rsid w:val="008F3C11"/>
    <w:rsid w:val="00901197"/>
    <w:rsid w:val="00904B67"/>
    <w:rsid w:val="009055E0"/>
    <w:rsid w:val="00912444"/>
    <w:rsid w:val="00913CE0"/>
    <w:rsid w:val="0091660D"/>
    <w:rsid w:val="009310E3"/>
    <w:rsid w:val="009337A8"/>
    <w:rsid w:val="00935E94"/>
    <w:rsid w:val="00941B52"/>
    <w:rsid w:val="00943EFF"/>
    <w:rsid w:val="00952C1B"/>
    <w:rsid w:val="00957ACB"/>
    <w:rsid w:val="0097185F"/>
    <w:rsid w:val="00973424"/>
    <w:rsid w:val="00973594"/>
    <w:rsid w:val="009775FB"/>
    <w:rsid w:val="00983094"/>
    <w:rsid w:val="00983810"/>
    <w:rsid w:val="00987822"/>
    <w:rsid w:val="00987B06"/>
    <w:rsid w:val="009954C0"/>
    <w:rsid w:val="00996F09"/>
    <w:rsid w:val="009A3345"/>
    <w:rsid w:val="009A6368"/>
    <w:rsid w:val="009B0742"/>
    <w:rsid w:val="009B1C57"/>
    <w:rsid w:val="009B29A4"/>
    <w:rsid w:val="009B62F4"/>
    <w:rsid w:val="009C1018"/>
    <w:rsid w:val="009C1B45"/>
    <w:rsid w:val="009C1EF6"/>
    <w:rsid w:val="009C2C5B"/>
    <w:rsid w:val="009C2CF0"/>
    <w:rsid w:val="009C62EC"/>
    <w:rsid w:val="009C7233"/>
    <w:rsid w:val="009D3C95"/>
    <w:rsid w:val="009D4C19"/>
    <w:rsid w:val="009F2806"/>
    <w:rsid w:val="009F71E3"/>
    <w:rsid w:val="00A01D7E"/>
    <w:rsid w:val="00A06D17"/>
    <w:rsid w:val="00A07C2E"/>
    <w:rsid w:val="00A1132C"/>
    <w:rsid w:val="00A27500"/>
    <w:rsid w:val="00A32A29"/>
    <w:rsid w:val="00A32A96"/>
    <w:rsid w:val="00A3524A"/>
    <w:rsid w:val="00A36B9C"/>
    <w:rsid w:val="00A40AD0"/>
    <w:rsid w:val="00A41EFE"/>
    <w:rsid w:val="00A46B06"/>
    <w:rsid w:val="00A51E3D"/>
    <w:rsid w:val="00A53882"/>
    <w:rsid w:val="00A708F4"/>
    <w:rsid w:val="00A71E7C"/>
    <w:rsid w:val="00A72D78"/>
    <w:rsid w:val="00A75DC4"/>
    <w:rsid w:val="00A87338"/>
    <w:rsid w:val="00A87E5C"/>
    <w:rsid w:val="00A90B93"/>
    <w:rsid w:val="00A9119A"/>
    <w:rsid w:val="00A94A1A"/>
    <w:rsid w:val="00A94B1E"/>
    <w:rsid w:val="00A9630E"/>
    <w:rsid w:val="00AA3121"/>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43363"/>
    <w:rsid w:val="00C513DB"/>
    <w:rsid w:val="00C51BFC"/>
    <w:rsid w:val="00C5506F"/>
    <w:rsid w:val="00C61D00"/>
    <w:rsid w:val="00C64B98"/>
    <w:rsid w:val="00C663E9"/>
    <w:rsid w:val="00C72F62"/>
    <w:rsid w:val="00C74353"/>
    <w:rsid w:val="00C74D4C"/>
    <w:rsid w:val="00C74EF0"/>
    <w:rsid w:val="00C76EED"/>
    <w:rsid w:val="00C80EAA"/>
    <w:rsid w:val="00C815D6"/>
    <w:rsid w:val="00C81BE3"/>
    <w:rsid w:val="00C82DE2"/>
    <w:rsid w:val="00C8711D"/>
    <w:rsid w:val="00C91775"/>
    <w:rsid w:val="00C91F77"/>
    <w:rsid w:val="00C92F5E"/>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26E5"/>
    <w:rsid w:val="00D43AE3"/>
    <w:rsid w:val="00D459D1"/>
    <w:rsid w:val="00D515A1"/>
    <w:rsid w:val="00D536FE"/>
    <w:rsid w:val="00D53989"/>
    <w:rsid w:val="00D5414D"/>
    <w:rsid w:val="00D55FC4"/>
    <w:rsid w:val="00D57AA9"/>
    <w:rsid w:val="00D64AA7"/>
    <w:rsid w:val="00D64FDD"/>
    <w:rsid w:val="00D700DA"/>
    <w:rsid w:val="00D75A1C"/>
    <w:rsid w:val="00D76238"/>
    <w:rsid w:val="00D76491"/>
    <w:rsid w:val="00D82750"/>
    <w:rsid w:val="00D8515F"/>
    <w:rsid w:val="00D935AA"/>
    <w:rsid w:val="00D939BF"/>
    <w:rsid w:val="00D94141"/>
    <w:rsid w:val="00DA17CD"/>
    <w:rsid w:val="00DA1AB6"/>
    <w:rsid w:val="00DA47C8"/>
    <w:rsid w:val="00DA66F4"/>
    <w:rsid w:val="00DA6B97"/>
    <w:rsid w:val="00DB476F"/>
    <w:rsid w:val="00DB6F63"/>
    <w:rsid w:val="00DC355A"/>
    <w:rsid w:val="00DD59B5"/>
    <w:rsid w:val="00DE4378"/>
    <w:rsid w:val="00DE4F0B"/>
    <w:rsid w:val="00DE4F30"/>
    <w:rsid w:val="00DF61FD"/>
    <w:rsid w:val="00E028A8"/>
    <w:rsid w:val="00E02DA5"/>
    <w:rsid w:val="00E035C3"/>
    <w:rsid w:val="00E03B9C"/>
    <w:rsid w:val="00E04C94"/>
    <w:rsid w:val="00E058F5"/>
    <w:rsid w:val="00E15839"/>
    <w:rsid w:val="00E27ACC"/>
    <w:rsid w:val="00E4247C"/>
    <w:rsid w:val="00E42902"/>
    <w:rsid w:val="00E43407"/>
    <w:rsid w:val="00E45373"/>
    <w:rsid w:val="00E4758A"/>
    <w:rsid w:val="00E5088E"/>
    <w:rsid w:val="00E50F58"/>
    <w:rsid w:val="00E652A0"/>
    <w:rsid w:val="00E65E14"/>
    <w:rsid w:val="00E76AD3"/>
    <w:rsid w:val="00E7744E"/>
    <w:rsid w:val="00E8496F"/>
    <w:rsid w:val="00E91D14"/>
    <w:rsid w:val="00E9483C"/>
    <w:rsid w:val="00E95B2F"/>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165B"/>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 w:val="00FF44B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65B"/>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2750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unhideWhenUsed/>
    <w:rsid w:val="00D75A1C"/>
    <w:rPr>
      <w:sz w:val="20"/>
      <w:szCs w:val="20"/>
    </w:rPr>
  </w:style>
  <w:style w:type="character" w:customStyle="1" w:styleId="CommentTextChar">
    <w:name w:val="Comment Text Char"/>
    <w:link w:val="CommentText"/>
    <w:uiPriority w:val="99"/>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1E2881"/>
    <w:rPr>
      <w:color w:val="605E5C"/>
      <w:shd w:val="clear" w:color="auto" w:fill="E1DFDD"/>
    </w:rPr>
  </w:style>
  <w:style w:type="paragraph" w:styleId="FootnoteText">
    <w:name w:val="footnote text"/>
    <w:basedOn w:val="Normal"/>
    <w:link w:val="FootnoteTextChar"/>
    <w:uiPriority w:val="99"/>
    <w:semiHidden/>
    <w:unhideWhenUsed/>
    <w:rsid w:val="00E02D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2DA5"/>
    <w:rPr>
      <w:rFonts w:eastAsia="Times New Roman"/>
      <w:lang w:val="en-US" w:eastAsia="en-US"/>
    </w:rPr>
  </w:style>
  <w:style w:type="character" w:styleId="FootnoteReference">
    <w:name w:val="footnote reference"/>
    <w:basedOn w:val="DefaultParagraphFont"/>
    <w:uiPriority w:val="99"/>
    <w:semiHidden/>
    <w:unhideWhenUsed/>
    <w:rsid w:val="00E02DA5"/>
    <w:rPr>
      <w:vertAlign w:val="superscript"/>
    </w:rPr>
  </w:style>
  <w:style w:type="paragraph" w:styleId="Revision">
    <w:name w:val="Revision"/>
    <w:hidden/>
    <w:uiPriority w:val="99"/>
    <w:semiHidden/>
    <w:rsid w:val="00336CAD"/>
    <w:rPr>
      <w:rFonts w:eastAsia="Times New Roman"/>
      <w:sz w:val="22"/>
      <w:szCs w:val="22"/>
      <w:lang w:val="en-US" w:eastAsia="en-US"/>
    </w:rPr>
  </w:style>
  <w:style w:type="character" w:customStyle="1" w:styleId="Heading4Char">
    <w:name w:val="Heading 4 Char"/>
    <w:basedOn w:val="DefaultParagraphFont"/>
    <w:link w:val="Heading4"/>
    <w:uiPriority w:val="9"/>
    <w:semiHidden/>
    <w:rsid w:val="00A27500"/>
    <w:rPr>
      <w:rFonts w:asciiTheme="majorHAnsi" w:eastAsiaTheme="majorEastAsia" w:hAnsiTheme="majorHAnsi" w:cstheme="majorBidi"/>
      <w:i/>
      <w:iCs/>
      <w:color w:val="365F91" w:themeColor="accent1" w:themeShade="BF"/>
      <w:sz w:val="22"/>
      <w:szCs w:val="22"/>
      <w:lang w:val="en-US" w:eastAsia="en-US"/>
    </w:rPr>
  </w:style>
  <w:style w:type="character" w:styleId="FollowedHyperlink">
    <w:name w:val="FollowedHyperlink"/>
    <w:basedOn w:val="DefaultParagraphFont"/>
    <w:uiPriority w:val="99"/>
    <w:semiHidden/>
    <w:unhideWhenUsed/>
    <w:rsid w:val="00697D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56441005">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64706398">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22727158">
      <w:bodyDiv w:val="1"/>
      <w:marLeft w:val="0"/>
      <w:marRight w:val="0"/>
      <w:marTop w:val="0"/>
      <w:marBottom w:val="0"/>
      <w:divBdr>
        <w:top w:val="none" w:sz="0" w:space="0" w:color="auto"/>
        <w:left w:val="none" w:sz="0" w:space="0" w:color="auto"/>
        <w:bottom w:val="none" w:sz="0" w:space="0" w:color="auto"/>
        <w:right w:val="none" w:sz="0" w:space="0" w:color="auto"/>
      </w:divBdr>
    </w:div>
    <w:div w:id="544415888">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44315865">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6518560">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14447700">
      <w:bodyDiv w:val="1"/>
      <w:marLeft w:val="0"/>
      <w:marRight w:val="0"/>
      <w:marTop w:val="0"/>
      <w:marBottom w:val="0"/>
      <w:divBdr>
        <w:top w:val="none" w:sz="0" w:space="0" w:color="auto"/>
        <w:left w:val="none" w:sz="0" w:space="0" w:color="auto"/>
        <w:bottom w:val="none" w:sz="0" w:space="0" w:color="auto"/>
        <w:right w:val="none" w:sz="0" w:space="0" w:color="auto"/>
      </w:divBdr>
    </w:div>
    <w:div w:id="880170204">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17077399">
      <w:bodyDiv w:val="1"/>
      <w:marLeft w:val="0"/>
      <w:marRight w:val="0"/>
      <w:marTop w:val="0"/>
      <w:marBottom w:val="0"/>
      <w:divBdr>
        <w:top w:val="none" w:sz="0" w:space="0" w:color="auto"/>
        <w:left w:val="none" w:sz="0" w:space="0" w:color="auto"/>
        <w:bottom w:val="none" w:sz="0" w:space="0" w:color="auto"/>
        <w:right w:val="none" w:sz="0" w:space="0" w:color="auto"/>
      </w:divBdr>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7533729">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076391455">
      <w:bodyDiv w:val="1"/>
      <w:marLeft w:val="0"/>
      <w:marRight w:val="0"/>
      <w:marTop w:val="0"/>
      <w:marBottom w:val="0"/>
      <w:divBdr>
        <w:top w:val="none" w:sz="0" w:space="0" w:color="auto"/>
        <w:left w:val="none" w:sz="0" w:space="0" w:color="auto"/>
        <w:bottom w:val="none" w:sz="0" w:space="0" w:color="auto"/>
        <w:right w:val="none" w:sz="0" w:space="0" w:color="auto"/>
      </w:divBdr>
    </w:div>
    <w:div w:id="114511929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58524935">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11953026">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59476746">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copyright/en/faq_copyright.html" TargetMode="External"/><Relationship Id="rId13" Type="http://schemas.openxmlformats.org/officeDocument/2006/relationships/hyperlink" Target="https://www.youtube.com/watch?v=jJj-lK3MHy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5Z9eOZpRVuQ" TargetMode="External"/><Relationship Id="rId12" Type="http://schemas.openxmlformats.org/officeDocument/2006/relationships/hyperlink" Target="http://www.lb.l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romoney.com" TargetMode="External"/><Relationship Id="rId5" Type="http://schemas.openxmlformats.org/officeDocument/2006/relationships/footnotes" Target="footnotes.xml"/><Relationship Id="rId15" Type="http://schemas.openxmlformats.org/officeDocument/2006/relationships/hyperlink" Target="https://iuslaboris.com/insights/new-proposals-on-non-compete-clauses-in-finland-what-will-change-for-employers/" TargetMode="External"/><Relationship Id="rId10" Type="http://schemas.openxmlformats.org/officeDocument/2006/relationships/hyperlink" Target="https://iuslaboris.com/insights/new-proposals-on-non-compete-clauses-in-finland-what-will-change-for-employe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ortonrosefulbright.com/en/knowledge/publications/9807eea3/a-comparison-of-laws-in-selected-eu-jurisdictions-relating-to-post-contractual-non-competition-agreements-between-employers-and-employees" TargetMode="External"/><Relationship Id="rId14" Type="http://schemas.openxmlformats.org/officeDocument/2006/relationships/hyperlink" Target="https://www.nortonrosefulbright.com/en/knowledge/publications/9807eea3/a-comparison-of-laws-in-selected-eu-jurisdictions-relating-to-post-contractual-non-competition-agreements-between-employers-and-employ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2150</Words>
  <Characters>12257</Characters>
  <Application>Microsoft Office Word</Application>
  <DocSecurity>0</DocSecurity>
  <Lines>102</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14379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WALLESS</cp:lastModifiedBy>
  <cp:revision>3</cp:revision>
  <cp:lastPrinted>2014-08-27T12:22:00Z</cp:lastPrinted>
  <dcterms:created xsi:type="dcterms:W3CDTF">2023-12-27T10:01:00Z</dcterms:created>
  <dcterms:modified xsi:type="dcterms:W3CDTF">2023-12-27T10:01:00Z</dcterms:modified>
</cp:coreProperties>
</file>