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3D8B" w:rsidRDefault="007B3D8B" w:rsidP="009C0B46">
      <w:pPr>
        <w:pStyle w:val="Title"/>
        <w:spacing w:after="0"/>
        <w:rPr>
          <w:rFonts w:ascii="Arial" w:hAnsi="Arial" w:cs="Arial"/>
          <w:b w:val="0"/>
          <w:bCs w:val="0"/>
          <w:sz w:val="28"/>
          <w:szCs w:val="28"/>
        </w:rPr>
      </w:pPr>
      <w:r w:rsidRPr="009C0B46">
        <w:rPr>
          <w:rFonts w:ascii="Arial" w:hAnsi="Arial" w:cs="Arial"/>
          <w:b w:val="0"/>
          <w:bCs w:val="0"/>
          <w:sz w:val="28"/>
          <w:szCs w:val="28"/>
        </w:rPr>
        <w:t>MicroEconomics</w:t>
      </w:r>
    </w:p>
    <w:p w:rsidR="009C0B46" w:rsidRPr="009C0B46" w:rsidRDefault="009C0B46" w:rsidP="009C0B46">
      <w:pPr>
        <w:pStyle w:val="Subtitle"/>
        <w:rPr>
          <w:lang w:val="en-US"/>
        </w:rPr>
      </w:pPr>
    </w:p>
    <w:p w:rsidR="007B3D8B" w:rsidRPr="009C0B46" w:rsidRDefault="007B3D8B" w:rsidP="009C0B46">
      <w:pPr>
        <w:pStyle w:val="Parameters"/>
        <w:spacing w:before="0" w:after="0"/>
        <w:rPr>
          <w:rFonts w:ascii="Arial" w:hAnsi="Arial" w:cs="Arial"/>
          <w:sz w:val="18"/>
          <w:szCs w:val="18"/>
        </w:rPr>
      </w:pPr>
    </w:p>
    <w:tbl>
      <w:tblPr>
        <w:tblW w:w="5000" w:type="pct"/>
        <w:tblLook w:val="01E0" w:firstRow="1" w:lastRow="1" w:firstColumn="1" w:lastColumn="1" w:noHBand="0" w:noVBand="0"/>
      </w:tblPr>
      <w:tblGrid>
        <w:gridCol w:w="4890"/>
        <w:gridCol w:w="4747"/>
      </w:tblGrid>
      <w:tr w:rsidR="00EB6CC4" w:rsidRPr="0073580A" w:rsidTr="007948CA">
        <w:tc>
          <w:tcPr>
            <w:tcW w:w="2537" w:type="pct"/>
          </w:tcPr>
          <w:p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rsidR="00EB6CC4" w:rsidRPr="0073580A" w:rsidRDefault="00EB6CC4" w:rsidP="007948CA">
            <w:pPr>
              <w:spacing w:before="120"/>
              <w:rPr>
                <w:rFonts w:ascii="Arial" w:hAnsi="Arial" w:cs="Arial"/>
                <w:i/>
                <w:color w:val="000000"/>
                <w:sz w:val="18"/>
                <w:szCs w:val="18"/>
              </w:rPr>
            </w:pPr>
            <w:r>
              <w:rPr>
                <w:rFonts w:ascii="Arial" w:hAnsi="Arial" w:cs="Arial"/>
                <w:i/>
                <w:color w:val="000000"/>
                <w:sz w:val="18"/>
                <w:szCs w:val="18"/>
              </w:rPr>
              <w:t>ECO101</w:t>
            </w:r>
          </w:p>
        </w:tc>
      </w:tr>
      <w:tr w:rsidR="00EB6CC4" w:rsidRPr="0073580A" w:rsidTr="007948CA">
        <w:tc>
          <w:tcPr>
            <w:tcW w:w="2537" w:type="pct"/>
          </w:tcPr>
          <w:p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rsidR="00EB6CC4" w:rsidRPr="0073580A" w:rsidRDefault="00EB6CC4" w:rsidP="007948CA">
            <w:pPr>
              <w:pStyle w:val="Parameter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International Business Communication</w:t>
            </w:r>
          </w:p>
        </w:tc>
      </w:tr>
      <w:tr w:rsidR="00EB6CC4" w:rsidRPr="0073580A" w:rsidTr="007948CA">
        <w:tc>
          <w:tcPr>
            <w:tcW w:w="2537" w:type="pct"/>
          </w:tcPr>
          <w:p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rsidR="00EB6CC4" w:rsidRPr="0073580A" w:rsidRDefault="00EB6CC4" w:rsidP="007948CA">
            <w:pPr>
              <w:pStyle w:val="Parameters"/>
              <w:spacing w:before="120" w:after="0" w:line="276" w:lineRule="auto"/>
              <w:ind w:left="0" w:firstLine="0"/>
              <w:rPr>
                <w:rStyle w:val="Bolds"/>
                <w:rFonts w:ascii="Arial" w:hAnsi="Arial" w:cs="Arial"/>
                <w:b w:val="0"/>
                <w:i/>
                <w:sz w:val="18"/>
                <w:szCs w:val="18"/>
              </w:rPr>
            </w:pPr>
            <w:r w:rsidRPr="0073580A">
              <w:rPr>
                <w:rStyle w:val="Bolds"/>
                <w:rFonts w:ascii="Arial" w:hAnsi="Arial" w:cs="Arial"/>
                <w:i/>
                <w:sz w:val="18"/>
                <w:szCs w:val="18"/>
              </w:rPr>
              <w:t>Undergraduate</w:t>
            </w:r>
          </w:p>
        </w:tc>
      </w:tr>
      <w:tr w:rsidR="00EB6CC4" w:rsidRPr="0073580A" w:rsidTr="007948CA">
        <w:tc>
          <w:tcPr>
            <w:tcW w:w="2537" w:type="pct"/>
          </w:tcPr>
          <w:p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p>
        </w:tc>
        <w:tc>
          <w:tcPr>
            <w:tcW w:w="2463" w:type="pct"/>
          </w:tcPr>
          <w:p w:rsidR="00EB6CC4" w:rsidRPr="0073580A" w:rsidRDefault="00EB6CC4" w:rsidP="007948CA">
            <w:pPr>
              <w:pStyle w:val="Parameters"/>
              <w:spacing w:before="120" w:after="0" w:line="276" w:lineRule="auto"/>
              <w:ind w:left="0" w:firstLine="0"/>
              <w:rPr>
                <w:rStyle w:val="Bolds"/>
                <w:rFonts w:ascii="Arial" w:hAnsi="Arial" w:cs="Arial"/>
                <w:b w:val="0"/>
                <w:i/>
                <w:sz w:val="18"/>
                <w:szCs w:val="18"/>
              </w:rPr>
            </w:pPr>
            <w:r w:rsidRPr="0073580A">
              <w:rPr>
                <w:rStyle w:val="Bolds"/>
                <w:rFonts w:ascii="Arial" w:hAnsi="Arial" w:cs="Arial"/>
                <w:i/>
                <w:sz w:val="18"/>
                <w:szCs w:val="18"/>
              </w:rPr>
              <w:t>6 ECTS (48 contact hours + 6 consultation hours, 106 individual work hours)</w:t>
            </w:r>
          </w:p>
        </w:tc>
      </w:tr>
      <w:tr w:rsidR="00EB6CC4" w:rsidRPr="0073580A" w:rsidTr="007948CA">
        <w:tc>
          <w:tcPr>
            <w:tcW w:w="2537" w:type="pct"/>
          </w:tcPr>
          <w:p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(title and name)</w:t>
            </w:r>
          </w:p>
        </w:tc>
        <w:tc>
          <w:tcPr>
            <w:tcW w:w="2463" w:type="pct"/>
          </w:tcPr>
          <w:p w:rsidR="00EB6CC4" w:rsidRPr="0073580A" w:rsidRDefault="00EB6CC4" w:rsidP="007948CA">
            <w:pPr>
              <w:pStyle w:val="Parameter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 xml:space="preserve">Associate Prof. Aras </w:t>
            </w:r>
            <w:proofErr w:type="spellStart"/>
            <w:r>
              <w:rPr>
                <w:rStyle w:val="Bolds"/>
                <w:rFonts w:ascii="Arial" w:hAnsi="Arial" w:cs="Arial"/>
                <w:b w:val="0"/>
                <w:i/>
                <w:sz w:val="18"/>
                <w:szCs w:val="18"/>
              </w:rPr>
              <w:t>Zirgulis</w:t>
            </w:r>
            <w:proofErr w:type="spellEnd"/>
            <w:r w:rsidRPr="0073580A">
              <w:rPr>
                <w:rStyle w:val="Bolds"/>
                <w:rFonts w:ascii="Arial" w:hAnsi="Arial" w:cs="Arial"/>
                <w:i/>
                <w:sz w:val="18"/>
                <w:szCs w:val="18"/>
              </w:rPr>
              <w:t xml:space="preserve"> </w:t>
            </w:r>
          </w:p>
        </w:tc>
      </w:tr>
      <w:tr w:rsidR="00EB6CC4" w:rsidRPr="0073580A" w:rsidTr="007948CA">
        <w:tc>
          <w:tcPr>
            <w:tcW w:w="2537" w:type="pct"/>
          </w:tcPr>
          <w:p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rsidR="00EB6CC4" w:rsidRPr="0073580A" w:rsidRDefault="00EB6CC4" w:rsidP="007948CA">
            <w:pPr>
              <w:pStyle w:val="Parameters"/>
              <w:spacing w:before="120" w:after="0" w:line="276" w:lineRule="auto"/>
              <w:ind w:left="0" w:firstLine="0"/>
              <w:rPr>
                <w:rFonts w:ascii="Arial" w:hAnsi="Arial" w:cs="Arial"/>
                <w:i/>
                <w:iCs/>
                <w:sz w:val="18"/>
                <w:szCs w:val="18"/>
                <w:highlight w:val="yellow"/>
              </w:rPr>
            </w:pPr>
            <w:r w:rsidRPr="009C0B46">
              <w:rPr>
                <w:rStyle w:val="Italic"/>
                <w:rFonts w:ascii="Arial" w:hAnsi="Arial" w:cs="Arial"/>
                <w:sz w:val="18"/>
                <w:szCs w:val="18"/>
              </w:rPr>
              <w:t xml:space="preserve">Principles of Economics, Mathematical Analysis  </w:t>
            </w:r>
            <w:r w:rsidRPr="009C0B46">
              <w:rPr>
                <w:rStyle w:val="Bolds"/>
                <w:rFonts w:ascii="Arial" w:hAnsi="Arial" w:cs="Arial"/>
                <w:sz w:val="18"/>
                <w:szCs w:val="18"/>
              </w:rPr>
              <w:t xml:space="preserve">                                                                                             </w:t>
            </w:r>
            <w:r w:rsidRPr="009C0B46">
              <w:rPr>
                <w:rStyle w:val="Italic"/>
                <w:rFonts w:ascii="Arial" w:hAnsi="Arial" w:cs="Arial"/>
                <w:sz w:val="18"/>
                <w:szCs w:val="18"/>
              </w:rPr>
              <w:t xml:space="preserve">            </w:t>
            </w:r>
          </w:p>
        </w:tc>
      </w:tr>
      <w:tr w:rsidR="00EB6CC4" w:rsidRPr="0073580A" w:rsidTr="007948CA">
        <w:trPr>
          <w:trHeight w:val="168"/>
        </w:trPr>
        <w:tc>
          <w:tcPr>
            <w:tcW w:w="2537" w:type="pct"/>
          </w:tcPr>
          <w:p w:rsidR="00EB6CC4" w:rsidRPr="0073580A" w:rsidRDefault="00EB6CC4" w:rsidP="007948CA">
            <w:pPr>
              <w:pStyle w:val="Parameters"/>
              <w:spacing w:before="120" w:after="0" w:line="276" w:lineRule="auto"/>
              <w:ind w:left="0" w:firstLine="0"/>
              <w:rPr>
                <w:rFonts w:ascii="Arial" w:hAnsi="Arial" w:cs="Arial"/>
                <w:b/>
                <w:sz w:val="18"/>
                <w:szCs w:val="18"/>
              </w:rPr>
            </w:pPr>
            <w:r w:rsidRPr="0073580A">
              <w:rPr>
                <w:rStyle w:val="Bolds"/>
                <w:rFonts w:ascii="Arial" w:hAnsi="Arial" w:cs="Arial"/>
                <w:sz w:val="18"/>
                <w:szCs w:val="18"/>
              </w:rPr>
              <w:t>Language of instruction</w:t>
            </w:r>
          </w:p>
        </w:tc>
        <w:tc>
          <w:tcPr>
            <w:tcW w:w="2463" w:type="pct"/>
          </w:tcPr>
          <w:p w:rsidR="00EB6CC4" w:rsidRPr="0073580A" w:rsidRDefault="00EB6CC4" w:rsidP="007948CA">
            <w:pPr>
              <w:pStyle w:val="Parameter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rsidR="007B3D8B" w:rsidRDefault="007B3D8B" w:rsidP="009C0B46">
      <w:pPr>
        <w:pStyle w:val="Head"/>
        <w:spacing w:before="0" w:after="0"/>
        <w:rPr>
          <w:rFonts w:ascii="Arial" w:hAnsi="Arial" w:cs="Arial"/>
          <w:sz w:val="18"/>
          <w:szCs w:val="18"/>
        </w:rPr>
      </w:pPr>
    </w:p>
    <w:p w:rsidR="00EB6CC4" w:rsidRPr="009C0B46" w:rsidRDefault="00EB6CC4" w:rsidP="009C0B46">
      <w:pPr>
        <w:pStyle w:val="Head"/>
        <w:spacing w:before="0" w:after="0"/>
        <w:rPr>
          <w:rFonts w:ascii="Arial" w:hAnsi="Arial" w:cs="Arial"/>
          <w:sz w:val="18"/>
          <w:szCs w:val="18"/>
        </w:rPr>
      </w:pPr>
    </w:p>
    <w:p w:rsidR="00C50322" w:rsidRPr="0073580A" w:rsidRDefault="00C50322" w:rsidP="00C50322">
      <w:pPr>
        <w:rPr>
          <w:rFonts w:ascii="Arial" w:hAnsi="Arial" w:cs="Arial"/>
          <w:b/>
          <w:sz w:val="18"/>
          <w:szCs w:val="18"/>
        </w:rPr>
      </w:pPr>
      <w:r w:rsidRPr="0073580A">
        <w:rPr>
          <w:rFonts w:ascii="Arial" w:hAnsi="Arial" w:cs="Arial"/>
          <w:b/>
          <w:sz w:val="18"/>
          <w:szCs w:val="18"/>
        </w:rPr>
        <w:t>THE AIM OF THE COURSE:</w:t>
      </w:r>
    </w:p>
    <w:p w:rsidR="009C0B46" w:rsidRPr="009C0B46" w:rsidRDefault="009C0B46" w:rsidP="009C0B46">
      <w:pPr>
        <w:pStyle w:val="Head"/>
        <w:spacing w:before="0" w:after="0"/>
        <w:rPr>
          <w:rFonts w:ascii="Arial" w:hAnsi="Arial" w:cs="Arial"/>
          <w:sz w:val="18"/>
          <w:szCs w:val="18"/>
        </w:rPr>
      </w:pPr>
    </w:p>
    <w:p w:rsidR="007B3D8B" w:rsidRDefault="007B3D8B" w:rsidP="004B26D9">
      <w:pPr>
        <w:pStyle w:val="Text"/>
        <w:spacing w:after="0" w:line="240" w:lineRule="auto"/>
        <w:rPr>
          <w:rFonts w:ascii="Arial" w:hAnsi="Arial" w:cs="Arial"/>
          <w:sz w:val="18"/>
          <w:szCs w:val="18"/>
        </w:rPr>
      </w:pPr>
      <w:r w:rsidRPr="009C0B46">
        <w:rPr>
          <w:rFonts w:ascii="Arial" w:hAnsi="Arial" w:cs="Arial"/>
          <w:sz w:val="18"/>
          <w:szCs w:val="18"/>
        </w:rPr>
        <w:t xml:space="preserve">This course provides an introduction to analysis of economic behavior. </w:t>
      </w:r>
      <w:r w:rsidR="00DA3653" w:rsidRPr="009C0B46">
        <w:rPr>
          <w:rFonts w:ascii="Arial" w:hAnsi="Arial" w:cs="Arial"/>
          <w:sz w:val="18"/>
          <w:szCs w:val="18"/>
        </w:rPr>
        <w:t>The a</w:t>
      </w:r>
      <w:r w:rsidRPr="009C0B46">
        <w:rPr>
          <w:rFonts w:ascii="Arial" w:hAnsi="Arial" w:cs="Arial"/>
          <w:sz w:val="18"/>
          <w:szCs w:val="18"/>
        </w:rPr>
        <w:t>bility to predict market outcomes is indispensable not only for a sound business strategy but also for a meaningful public policy. The main focus of the course is on optimal decision making, understanding determinants of demand and supply, market equilibrium, strategic behavior, and welfa</w:t>
      </w:r>
      <w:r w:rsidR="00DA3653" w:rsidRPr="009C0B46">
        <w:rPr>
          <w:rFonts w:ascii="Arial" w:hAnsi="Arial" w:cs="Arial"/>
          <w:sz w:val="18"/>
          <w:szCs w:val="18"/>
        </w:rPr>
        <w:t>re analysis. Introduction to</w:t>
      </w:r>
      <w:r w:rsidR="00C50322">
        <w:rPr>
          <w:rFonts w:ascii="Arial" w:hAnsi="Arial" w:cs="Arial"/>
          <w:sz w:val="18"/>
          <w:szCs w:val="18"/>
        </w:rPr>
        <w:t xml:space="preserve"> </w:t>
      </w:r>
      <w:r w:rsidRPr="009C0B46">
        <w:rPr>
          <w:rFonts w:ascii="Arial" w:hAnsi="Arial" w:cs="Arial"/>
          <w:sz w:val="18"/>
          <w:szCs w:val="18"/>
        </w:rPr>
        <w:t>choice</w:t>
      </w:r>
      <w:r w:rsidR="00C50322">
        <w:rPr>
          <w:rFonts w:ascii="Arial" w:hAnsi="Arial" w:cs="Arial"/>
          <w:sz w:val="18"/>
          <w:szCs w:val="18"/>
        </w:rPr>
        <w:t>s</w:t>
      </w:r>
      <w:r w:rsidRPr="009C0B46">
        <w:rPr>
          <w:rFonts w:ascii="Arial" w:hAnsi="Arial" w:cs="Arial"/>
          <w:sz w:val="18"/>
          <w:szCs w:val="18"/>
        </w:rPr>
        <w:t xml:space="preserve"> under uncertainty and the general equilibrium analysis is also covered.  The course teach</w:t>
      </w:r>
      <w:r w:rsidR="00C50322">
        <w:rPr>
          <w:rFonts w:ascii="Arial" w:hAnsi="Arial" w:cs="Arial"/>
          <w:sz w:val="18"/>
          <w:szCs w:val="18"/>
        </w:rPr>
        <w:t>es</w:t>
      </w:r>
      <w:r w:rsidRPr="009C0B46">
        <w:rPr>
          <w:rFonts w:ascii="Arial" w:hAnsi="Arial" w:cs="Arial"/>
          <w:sz w:val="18"/>
          <w:szCs w:val="18"/>
        </w:rPr>
        <w:t xml:space="preserve"> </w:t>
      </w:r>
      <w:r w:rsidR="0048457B" w:rsidRPr="009C0B46">
        <w:rPr>
          <w:rFonts w:ascii="Arial" w:hAnsi="Arial" w:cs="Arial"/>
          <w:sz w:val="18"/>
          <w:szCs w:val="18"/>
        </w:rPr>
        <w:t xml:space="preserve">an </w:t>
      </w:r>
      <w:r w:rsidRPr="009C0B46">
        <w:rPr>
          <w:rFonts w:ascii="Arial" w:hAnsi="Arial" w:cs="Arial"/>
          <w:sz w:val="18"/>
          <w:szCs w:val="18"/>
        </w:rPr>
        <w:t xml:space="preserve">analytical approach to </w:t>
      </w:r>
      <w:r w:rsidR="0048457B" w:rsidRPr="009C0B46">
        <w:rPr>
          <w:rFonts w:ascii="Arial" w:hAnsi="Arial" w:cs="Arial"/>
          <w:sz w:val="18"/>
          <w:szCs w:val="18"/>
        </w:rPr>
        <w:t xml:space="preserve">the </w:t>
      </w:r>
      <w:r w:rsidRPr="009C0B46">
        <w:rPr>
          <w:rFonts w:ascii="Arial" w:hAnsi="Arial" w:cs="Arial"/>
          <w:sz w:val="18"/>
          <w:szCs w:val="18"/>
        </w:rPr>
        <w:t>functioning of the market mechanism, economic behavior of market participants, market environment impact on competition</w:t>
      </w:r>
      <w:r w:rsidR="007C0913">
        <w:rPr>
          <w:rFonts w:ascii="Arial" w:hAnsi="Arial" w:cs="Arial"/>
          <w:sz w:val="18"/>
          <w:szCs w:val="18"/>
        </w:rPr>
        <w:t>,</w:t>
      </w:r>
      <w:r w:rsidRPr="009C0B46">
        <w:rPr>
          <w:rFonts w:ascii="Arial" w:hAnsi="Arial" w:cs="Arial"/>
          <w:sz w:val="18"/>
          <w:szCs w:val="18"/>
        </w:rPr>
        <w:t xml:space="preserve"> and business strategies. Students should acquire </w:t>
      </w:r>
      <w:r w:rsidR="0048457B" w:rsidRPr="009C0B46">
        <w:rPr>
          <w:rFonts w:ascii="Arial" w:hAnsi="Arial" w:cs="Arial"/>
          <w:sz w:val="18"/>
          <w:szCs w:val="18"/>
        </w:rPr>
        <w:t xml:space="preserve">the </w:t>
      </w:r>
      <w:r w:rsidRPr="009C0B46">
        <w:rPr>
          <w:rFonts w:ascii="Arial" w:hAnsi="Arial" w:cs="Arial"/>
          <w:sz w:val="18"/>
          <w:szCs w:val="18"/>
        </w:rPr>
        <w:t xml:space="preserve">skills and </w:t>
      </w:r>
      <w:r w:rsidR="0048457B" w:rsidRPr="009C0B46">
        <w:rPr>
          <w:rFonts w:ascii="Arial" w:hAnsi="Arial" w:cs="Arial"/>
          <w:sz w:val="18"/>
          <w:szCs w:val="18"/>
        </w:rPr>
        <w:t xml:space="preserve">the </w:t>
      </w:r>
      <w:r w:rsidRPr="009C0B46">
        <w:rPr>
          <w:rFonts w:ascii="Arial" w:hAnsi="Arial" w:cs="Arial"/>
          <w:sz w:val="18"/>
          <w:szCs w:val="18"/>
        </w:rPr>
        <w:t xml:space="preserve">ability to apply microeconomic analysis and optimization methods to a large variety of economic problems. </w:t>
      </w:r>
    </w:p>
    <w:p w:rsidR="00C50322" w:rsidRDefault="00C50322" w:rsidP="00C50322">
      <w:pPr>
        <w:rPr>
          <w:rFonts w:ascii="Arial" w:hAnsi="Arial" w:cs="Arial"/>
          <w:b/>
          <w:sz w:val="18"/>
          <w:szCs w:val="18"/>
        </w:rPr>
      </w:pPr>
    </w:p>
    <w:p w:rsidR="00C50322" w:rsidRPr="0073580A" w:rsidRDefault="00C50322" w:rsidP="00C50322">
      <w:pPr>
        <w:rPr>
          <w:rFonts w:ascii="Arial" w:hAnsi="Arial" w:cs="Arial"/>
          <w:b/>
          <w:sz w:val="18"/>
          <w:szCs w:val="18"/>
        </w:rPr>
      </w:pPr>
      <w:r w:rsidRPr="0073580A">
        <w:rPr>
          <w:rFonts w:ascii="Arial" w:hAnsi="Arial" w:cs="Arial"/>
          <w:b/>
          <w:sz w:val="18"/>
          <w:szCs w:val="18"/>
        </w:rPr>
        <w:t>MAPPING OF COURSE LEVEL LEARNING OUTCOMES (OBJECTIVES) WITH DEGREE</w:t>
      </w:r>
      <w:r>
        <w:rPr>
          <w:rFonts w:ascii="Arial" w:hAnsi="Arial" w:cs="Arial"/>
          <w:b/>
          <w:sz w:val="18"/>
          <w:szCs w:val="18"/>
        </w:rPr>
        <w:t xml:space="preserve"> LEVEL LEARNING OBJECTIVES (See Annex), ASSESMENT AND TEACHING METHODS</w:t>
      </w:r>
    </w:p>
    <w:p w:rsidR="00C50322" w:rsidRPr="009C0B46" w:rsidRDefault="00C50322" w:rsidP="009C0B46">
      <w:pPr>
        <w:jc w:val="both"/>
        <w:rPr>
          <w:rFonts w:ascii="Arial" w:hAnsi="Arial" w:cs="Arial"/>
          <w:sz w:val="18"/>
          <w:szCs w:val="18"/>
          <w:lang w:val="en-US"/>
        </w:rPr>
      </w:pPr>
    </w:p>
    <w:p w:rsidR="00102F4F" w:rsidRPr="009C0B46" w:rsidRDefault="00102F4F" w:rsidP="009C0B46">
      <w:pPr>
        <w:jc w:val="both"/>
        <w:rPr>
          <w:rFonts w:ascii="Arial" w:hAnsi="Arial" w:cs="Arial"/>
          <w:b/>
          <w:bCs/>
          <w:sz w:val="18"/>
          <w:szCs w:val="18"/>
          <w:lang w:val="en-US"/>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9"/>
        <w:gridCol w:w="1743"/>
        <w:gridCol w:w="2381"/>
        <w:gridCol w:w="2240"/>
      </w:tblGrid>
      <w:tr w:rsidR="004B26D9" w:rsidRPr="004B26D9" w:rsidTr="004B26D9">
        <w:trPr>
          <w:trHeight w:val="346"/>
        </w:trPr>
        <w:tc>
          <w:tcPr>
            <w:tcW w:w="3489" w:type="dxa"/>
          </w:tcPr>
          <w:p w:rsidR="004B26D9" w:rsidRPr="0073580A" w:rsidRDefault="004B26D9" w:rsidP="004B26D9">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1743" w:type="dxa"/>
          </w:tcPr>
          <w:p w:rsidR="004B26D9" w:rsidRPr="004B26D9" w:rsidRDefault="004B26D9" w:rsidP="004B26D9">
            <w:pPr>
              <w:pStyle w:val="Head"/>
              <w:spacing w:before="120" w:after="0"/>
              <w:jc w:val="left"/>
              <w:rPr>
                <w:rFonts w:ascii="Arial" w:hAnsi="Arial" w:cs="Arial"/>
                <w:sz w:val="18"/>
                <w:szCs w:val="18"/>
              </w:rPr>
            </w:pPr>
            <w:r w:rsidRPr="004B26D9">
              <w:rPr>
                <w:rFonts w:ascii="Arial" w:hAnsi="Arial" w:cs="Arial"/>
                <w:sz w:val="18"/>
                <w:szCs w:val="18"/>
              </w:rPr>
              <w:t xml:space="preserve">Degree level learning objectives </w:t>
            </w:r>
          </w:p>
        </w:tc>
        <w:tc>
          <w:tcPr>
            <w:tcW w:w="2381" w:type="dxa"/>
          </w:tcPr>
          <w:p w:rsidR="004B26D9" w:rsidRPr="0073580A" w:rsidRDefault="004B26D9" w:rsidP="004B26D9">
            <w:pPr>
              <w:pStyle w:val="Head"/>
              <w:spacing w:before="120" w:after="0"/>
              <w:rPr>
                <w:rFonts w:ascii="Arial" w:hAnsi="Arial" w:cs="Arial"/>
                <w:sz w:val="18"/>
                <w:szCs w:val="18"/>
              </w:rPr>
            </w:pPr>
            <w:r w:rsidRPr="0073580A">
              <w:rPr>
                <w:rFonts w:ascii="Arial" w:hAnsi="Arial" w:cs="Arial"/>
                <w:sz w:val="18"/>
                <w:szCs w:val="18"/>
              </w:rPr>
              <w:t>Assessment methods</w:t>
            </w:r>
          </w:p>
        </w:tc>
        <w:tc>
          <w:tcPr>
            <w:tcW w:w="2240" w:type="dxa"/>
          </w:tcPr>
          <w:p w:rsidR="004B26D9" w:rsidRPr="0073580A" w:rsidRDefault="004B26D9" w:rsidP="004B26D9">
            <w:pPr>
              <w:pStyle w:val="Head"/>
              <w:spacing w:before="120" w:after="0"/>
              <w:rPr>
                <w:rFonts w:ascii="Arial" w:hAnsi="Arial" w:cs="Arial"/>
                <w:sz w:val="18"/>
                <w:szCs w:val="18"/>
              </w:rPr>
            </w:pPr>
            <w:r w:rsidRPr="0073580A">
              <w:rPr>
                <w:rFonts w:ascii="Arial" w:hAnsi="Arial" w:cs="Arial"/>
                <w:sz w:val="18"/>
                <w:szCs w:val="18"/>
              </w:rPr>
              <w:t>Teaching methods</w:t>
            </w:r>
          </w:p>
        </w:tc>
      </w:tr>
      <w:tr w:rsidR="004B26D9" w:rsidRPr="004B26D9" w:rsidTr="004B26D9">
        <w:trPr>
          <w:trHeight w:val="585"/>
        </w:trPr>
        <w:tc>
          <w:tcPr>
            <w:tcW w:w="3489"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CLO1. Understand the main theories in microeconomics</w:t>
            </w:r>
          </w:p>
        </w:tc>
        <w:tc>
          <w:tcPr>
            <w:tcW w:w="1743"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1.1</w:t>
            </w:r>
          </w:p>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1.2</w:t>
            </w:r>
          </w:p>
        </w:tc>
        <w:tc>
          <w:tcPr>
            <w:tcW w:w="2381" w:type="dxa"/>
          </w:tcPr>
          <w:p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rsidTr="004B26D9">
        <w:trPr>
          <w:trHeight w:val="574"/>
        </w:trPr>
        <w:tc>
          <w:tcPr>
            <w:tcW w:w="3489"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CLO2.  Analyse and model microeconomic phenomena</w:t>
            </w:r>
          </w:p>
        </w:tc>
        <w:tc>
          <w:tcPr>
            <w:tcW w:w="1743"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1.1</w:t>
            </w:r>
          </w:p>
          <w:p w:rsidR="004B26D9" w:rsidRPr="004B26D9" w:rsidRDefault="004B26D9" w:rsidP="004B26D9">
            <w:pPr>
              <w:widowControl w:val="0"/>
              <w:spacing w:before="120"/>
              <w:rPr>
                <w:rFonts w:ascii="Arial" w:hAnsi="Arial" w:cs="Arial"/>
                <w:sz w:val="18"/>
                <w:szCs w:val="18"/>
              </w:rPr>
            </w:pPr>
          </w:p>
        </w:tc>
        <w:tc>
          <w:tcPr>
            <w:tcW w:w="2381" w:type="dxa"/>
          </w:tcPr>
          <w:p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rsidTr="004B26D9">
        <w:trPr>
          <w:trHeight w:val="574"/>
        </w:trPr>
        <w:tc>
          <w:tcPr>
            <w:tcW w:w="3489"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CLO3. Evaluate governmental policy as it relates to microeconomics</w:t>
            </w:r>
          </w:p>
        </w:tc>
        <w:tc>
          <w:tcPr>
            <w:tcW w:w="1743"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1.1</w:t>
            </w:r>
          </w:p>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rsidTr="004B26D9">
        <w:trPr>
          <w:trHeight w:val="574"/>
        </w:trPr>
        <w:tc>
          <w:tcPr>
            <w:tcW w:w="3489"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CLO4. Graphically model microeconomic situations</w:t>
            </w:r>
          </w:p>
        </w:tc>
        <w:tc>
          <w:tcPr>
            <w:tcW w:w="1743"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1.1</w:t>
            </w:r>
          </w:p>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rsidTr="004B26D9">
        <w:trPr>
          <w:trHeight w:val="574"/>
        </w:trPr>
        <w:tc>
          <w:tcPr>
            <w:tcW w:w="3489"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CLO5.  Relate real economic experiences to theory</w:t>
            </w:r>
          </w:p>
        </w:tc>
        <w:tc>
          <w:tcPr>
            <w:tcW w:w="1743"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1.2</w:t>
            </w:r>
          </w:p>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rsidTr="004B26D9">
        <w:trPr>
          <w:trHeight w:val="574"/>
        </w:trPr>
        <w:tc>
          <w:tcPr>
            <w:tcW w:w="3489"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CLO6. Identify economic situations at the firm and personal level</w:t>
            </w:r>
          </w:p>
        </w:tc>
        <w:tc>
          <w:tcPr>
            <w:tcW w:w="1743"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1.2</w:t>
            </w:r>
          </w:p>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rsidTr="004B26D9">
        <w:trPr>
          <w:trHeight w:val="346"/>
        </w:trPr>
        <w:tc>
          <w:tcPr>
            <w:tcW w:w="3489"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CLO7. Develop researching skills</w:t>
            </w:r>
          </w:p>
        </w:tc>
        <w:tc>
          <w:tcPr>
            <w:tcW w:w="1743"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4.1</w:t>
            </w:r>
          </w:p>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 group project</w:t>
            </w:r>
          </w:p>
        </w:tc>
        <w:tc>
          <w:tcPr>
            <w:tcW w:w="2240" w:type="dxa"/>
          </w:tcPr>
          <w:p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seminars</w:t>
            </w:r>
          </w:p>
        </w:tc>
      </w:tr>
    </w:tbl>
    <w:p w:rsidR="00102F4F" w:rsidRPr="009C0B46" w:rsidRDefault="00102F4F" w:rsidP="009C0B46">
      <w:pPr>
        <w:jc w:val="both"/>
        <w:rPr>
          <w:rFonts w:ascii="Arial" w:hAnsi="Arial" w:cs="Arial"/>
          <w:sz w:val="18"/>
          <w:szCs w:val="18"/>
          <w:lang w:val="en-US"/>
        </w:rPr>
      </w:pPr>
    </w:p>
    <w:p w:rsidR="00C50322" w:rsidRPr="00E268CD" w:rsidRDefault="00C50322" w:rsidP="00C50322">
      <w:pPr>
        <w:jc w:val="both"/>
        <w:rPr>
          <w:rFonts w:ascii="Arial" w:hAnsi="Arial" w:cs="Arial"/>
          <w:b/>
          <w:sz w:val="18"/>
          <w:szCs w:val="18"/>
        </w:rPr>
      </w:pPr>
      <w:r w:rsidRPr="00E268CD">
        <w:rPr>
          <w:rFonts w:ascii="Arial" w:hAnsi="Arial" w:cs="Arial"/>
          <w:b/>
          <w:sz w:val="18"/>
          <w:szCs w:val="18"/>
        </w:rPr>
        <w:t>ACADEMIC HONESTY AND INTEGRITY</w:t>
      </w:r>
    </w:p>
    <w:p w:rsidR="00C50322" w:rsidRPr="00E268CD" w:rsidRDefault="00C50322" w:rsidP="00C50322">
      <w:pPr>
        <w:jc w:val="both"/>
        <w:rPr>
          <w:rFonts w:ascii="Arial" w:hAnsi="Arial" w:cs="Arial"/>
          <w:sz w:val="18"/>
          <w:szCs w:val="18"/>
        </w:rPr>
      </w:pPr>
    </w:p>
    <w:p w:rsidR="00C50322" w:rsidRPr="00E268CD" w:rsidRDefault="00C50322" w:rsidP="00C50322">
      <w:pPr>
        <w:jc w:val="both"/>
        <w:rPr>
          <w:rFonts w:ascii="Arial" w:hAnsi="Arial" w:cs="Arial"/>
          <w:sz w:val="18"/>
          <w:szCs w:val="18"/>
        </w:rPr>
      </w:pPr>
      <w:r w:rsidRPr="00E268CD">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rsidR="00102F4F" w:rsidRPr="009C0B46" w:rsidRDefault="00102F4F" w:rsidP="009C0B46">
      <w:pPr>
        <w:jc w:val="both"/>
        <w:rPr>
          <w:rFonts w:ascii="Arial" w:hAnsi="Arial" w:cs="Arial"/>
          <w:sz w:val="18"/>
          <w:szCs w:val="18"/>
          <w:lang w:val="en-US"/>
        </w:rPr>
      </w:pPr>
    </w:p>
    <w:p w:rsidR="007B3D8B" w:rsidRPr="009C0B46" w:rsidRDefault="007B3D8B" w:rsidP="009C0B46">
      <w:pPr>
        <w:pStyle w:val="Heading3"/>
        <w:numPr>
          <w:ilvl w:val="0"/>
          <w:numId w:val="0"/>
        </w:numPr>
        <w:rPr>
          <w:szCs w:val="18"/>
          <w:lang w:val="en-US"/>
        </w:rPr>
      </w:pPr>
    </w:p>
    <w:p w:rsidR="00F52239" w:rsidRPr="0073580A" w:rsidRDefault="00F52239" w:rsidP="00F52239">
      <w:pPr>
        <w:jc w:val="both"/>
        <w:rPr>
          <w:rFonts w:ascii="Arial" w:hAnsi="Arial" w:cs="Arial"/>
          <w:b/>
          <w:sz w:val="18"/>
          <w:szCs w:val="18"/>
        </w:rPr>
      </w:pPr>
      <w:r w:rsidRPr="0073580A">
        <w:rPr>
          <w:rFonts w:ascii="Arial" w:hAnsi="Arial" w:cs="Arial"/>
          <w:b/>
          <w:sz w:val="18"/>
          <w:szCs w:val="18"/>
        </w:rPr>
        <w:t>COURSE OUTLINE</w:t>
      </w:r>
    </w:p>
    <w:p w:rsidR="00F52239" w:rsidRPr="0073580A" w:rsidRDefault="00F52239" w:rsidP="00F52239">
      <w:pPr>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4"/>
        <w:gridCol w:w="1232"/>
        <w:gridCol w:w="3331"/>
      </w:tblGrid>
      <w:tr w:rsidR="00F52239" w:rsidRPr="00182EE7" w:rsidTr="007948CA">
        <w:trPr>
          <w:trHeight w:val="514"/>
        </w:trPr>
        <w:tc>
          <w:tcPr>
            <w:tcW w:w="2630" w:type="pct"/>
            <w:shd w:val="clear" w:color="auto" w:fill="auto"/>
            <w:tcMar>
              <w:top w:w="14" w:type="dxa"/>
              <w:left w:w="115" w:type="dxa"/>
              <w:bottom w:w="14" w:type="dxa"/>
              <w:right w:w="115" w:type="dxa"/>
            </w:tcMar>
            <w:vAlign w:val="center"/>
          </w:tcPr>
          <w:p w:rsidR="00F52239" w:rsidRPr="00182EE7" w:rsidRDefault="00F52239" w:rsidP="007948CA">
            <w:pPr>
              <w:rPr>
                <w:rFonts w:ascii="Arial" w:hAnsi="Arial" w:cs="Arial"/>
                <w:b/>
                <w:bCs/>
                <w:sz w:val="18"/>
                <w:szCs w:val="18"/>
                <w:lang w:val="en-US"/>
              </w:rPr>
            </w:pPr>
            <w:r w:rsidRPr="00182EE7">
              <w:rPr>
                <w:rFonts w:ascii="Arial" w:hAnsi="Arial" w:cs="Arial"/>
                <w:b/>
                <w:bCs/>
                <w:sz w:val="18"/>
                <w:szCs w:val="18"/>
                <w:lang w:val="en-US"/>
              </w:rPr>
              <w:t>Topic</w:t>
            </w:r>
          </w:p>
        </w:tc>
        <w:tc>
          <w:tcPr>
            <w:tcW w:w="640" w:type="pct"/>
            <w:shd w:val="clear" w:color="auto" w:fill="auto"/>
            <w:tcMar>
              <w:top w:w="14" w:type="dxa"/>
              <w:left w:w="115" w:type="dxa"/>
              <w:bottom w:w="14" w:type="dxa"/>
              <w:right w:w="115" w:type="dxa"/>
            </w:tcMar>
            <w:vAlign w:val="center"/>
          </w:tcPr>
          <w:p w:rsidR="00F52239" w:rsidRPr="00182EE7" w:rsidRDefault="00F52239" w:rsidP="007948CA">
            <w:pPr>
              <w:jc w:val="center"/>
              <w:rPr>
                <w:rFonts w:ascii="Arial" w:hAnsi="Arial" w:cs="Arial"/>
                <w:b/>
                <w:sz w:val="18"/>
                <w:szCs w:val="18"/>
                <w:lang w:val="en-US"/>
              </w:rPr>
            </w:pPr>
            <w:r w:rsidRPr="00182EE7">
              <w:rPr>
                <w:rFonts w:ascii="Arial" w:hAnsi="Arial" w:cs="Arial"/>
                <w:b/>
                <w:sz w:val="18"/>
                <w:szCs w:val="18"/>
                <w:lang w:val="en-US"/>
              </w:rPr>
              <w:t>In-class hours</w:t>
            </w:r>
          </w:p>
        </w:tc>
        <w:tc>
          <w:tcPr>
            <w:tcW w:w="1730" w:type="pct"/>
            <w:shd w:val="clear" w:color="auto" w:fill="auto"/>
            <w:tcMar>
              <w:top w:w="14" w:type="dxa"/>
              <w:left w:w="115" w:type="dxa"/>
              <w:bottom w:w="14" w:type="dxa"/>
              <w:right w:w="115" w:type="dxa"/>
            </w:tcMar>
            <w:vAlign w:val="center"/>
          </w:tcPr>
          <w:p w:rsidR="00F52239" w:rsidRPr="00182EE7" w:rsidRDefault="00F52239" w:rsidP="007948CA">
            <w:pPr>
              <w:rPr>
                <w:rFonts w:ascii="Arial" w:hAnsi="Arial" w:cs="Arial"/>
                <w:b/>
                <w:sz w:val="18"/>
                <w:szCs w:val="18"/>
                <w:lang w:val="en-US"/>
              </w:rPr>
            </w:pPr>
            <w:r w:rsidRPr="00182EE7">
              <w:rPr>
                <w:rFonts w:ascii="Arial" w:hAnsi="Arial" w:cs="Arial"/>
                <w:b/>
                <w:sz w:val="18"/>
                <w:szCs w:val="18"/>
                <w:lang w:val="en-US"/>
              </w:rPr>
              <w:t>Readings</w:t>
            </w:r>
          </w:p>
        </w:tc>
      </w:tr>
      <w:tr w:rsidR="00F52239" w:rsidRPr="00182EE7" w:rsidTr="007948CA">
        <w:trPr>
          <w:trHeight w:val="314"/>
        </w:trPr>
        <w:tc>
          <w:tcPr>
            <w:tcW w:w="2630" w:type="pct"/>
            <w:tcMar>
              <w:top w:w="72" w:type="dxa"/>
              <w:left w:w="115" w:type="dxa"/>
              <w:bottom w:w="72" w:type="dxa"/>
              <w:right w:w="115" w:type="dxa"/>
            </w:tcMar>
            <w:vAlign w:val="center"/>
          </w:tcPr>
          <w:p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 xml:space="preserve">1: Introduction: Consumer Behavior. Consumer choice, </w:t>
            </w:r>
            <w:r w:rsidR="00182EE7" w:rsidRPr="00182EE7">
              <w:rPr>
                <w:rFonts w:ascii="Arial" w:hAnsi="Arial" w:cs="Arial"/>
                <w:b/>
                <w:sz w:val="18"/>
                <w:szCs w:val="18"/>
                <w:lang w:val="en-US"/>
              </w:rPr>
              <w:t>indifference</w:t>
            </w:r>
            <w:r w:rsidRPr="00182EE7">
              <w:rPr>
                <w:rFonts w:ascii="Arial" w:hAnsi="Arial" w:cs="Arial"/>
                <w:b/>
                <w:sz w:val="18"/>
                <w:szCs w:val="18"/>
                <w:lang w:val="en-US"/>
              </w:rPr>
              <w:t xml:space="preserve"> curves, utility maximization</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1-3</w:t>
            </w:r>
          </w:p>
        </w:tc>
      </w:tr>
      <w:tr w:rsidR="00F52239" w:rsidRPr="00182EE7" w:rsidTr="007948CA">
        <w:trPr>
          <w:trHeight w:val="312"/>
        </w:trPr>
        <w:tc>
          <w:tcPr>
            <w:tcW w:w="2630" w:type="pct"/>
            <w:tcMar>
              <w:top w:w="72" w:type="dxa"/>
              <w:left w:w="115" w:type="dxa"/>
              <w:bottom w:w="72" w:type="dxa"/>
              <w:right w:w="115" w:type="dxa"/>
            </w:tcMar>
            <w:vAlign w:val="center"/>
          </w:tcPr>
          <w:p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2: Individual and Market Demand. Individual demand, Income and substitution effects, market demand, consumer surplus</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widowControl w:val="0"/>
              <w:spacing w:after="200"/>
              <w:rPr>
                <w:rFonts w:ascii="Arial" w:hAnsi="Arial" w:cs="Arial"/>
                <w:sz w:val="18"/>
                <w:szCs w:val="18"/>
                <w:lang w:val="en-US"/>
              </w:rPr>
            </w:pPr>
            <w:r w:rsidRPr="00182EE7">
              <w:rPr>
                <w:rFonts w:ascii="Arial" w:hAnsi="Arial" w:cs="Arial"/>
                <w:sz w:val="18"/>
                <w:szCs w:val="18"/>
                <w:lang w:val="en-US"/>
              </w:rPr>
              <w:t>Ch 4</w:t>
            </w:r>
          </w:p>
        </w:tc>
      </w:tr>
      <w:tr w:rsidR="00F52239" w:rsidRPr="00182EE7" w:rsidTr="007948CA">
        <w:trPr>
          <w:trHeight w:val="312"/>
        </w:trPr>
        <w:tc>
          <w:tcPr>
            <w:tcW w:w="2630" w:type="pct"/>
            <w:tcMar>
              <w:top w:w="72" w:type="dxa"/>
              <w:left w:w="115" w:type="dxa"/>
              <w:bottom w:w="72" w:type="dxa"/>
              <w:right w:w="115" w:type="dxa"/>
            </w:tcMar>
          </w:tcPr>
          <w:p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3:  Uncertainty and Consumer Behavior. Risk, behavioral economics</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widowControl w:val="0"/>
              <w:spacing w:after="200"/>
              <w:rPr>
                <w:rFonts w:ascii="Arial" w:hAnsi="Arial" w:cs="Arial"/>
                <w:sz w:val="18"/>
                <w:szCs w:val="18"/>
                <w:lang w:val="en-US"/>
              </w:rPr>
            </w:pPr>
            <w:r w:rsidRPr="00182EE7">
              <w:rPr>
                <w:rFonts w:ascii="Arial" w:hAnsi="Arial" w:cs="Arial"/>
                <w:sz w:val="18"/>
                <w:szCs w:val="18"/>
                <w:lang w:val="en-US"/>
              </w:rPr>
              <w:t>Ch 5</w:t>
            </w:r>
          </w:p>
        </w:tc>
      </w:tr>
      <w:tr w:rsidR="00F52239" w:rsidRPr="00182EE7" w:rsidTr="007948CA">
        <w:trPr>
          <w:trHeight w:val="312"/>
        </w:trPr>
        <w:tc>
          <w:tcPr>
            <w:tcW w:w="2630" w:type="pct"/>
            <w:tcMar>
              <w:top w:w="72" w:type="dxa"/>
              <w:left w:w="115" w:type="dxa"/>
              <w:bottom w:w="72" w:type="dxa"/>
              <w:right w:w="115" w:type="dxa"/>
            </w:tcMar>
            <w:vAlign w:val="center"/>
          </w:tcPr>
          <w:p w:rsidR="00F52239" w:rsidRPr="00182EE7" w:rsidRDefault="00F52239" w:rsidP="007948CA">
            <w:pPr>
              <w:widowControl w:val="0"/>
              <w:tabs>
                <w:tab w:val="left" w:pos="72"/>
              </w:tabs>
              <w:snapToGrid w:val="0"/>
              <w:spacing w:after="200"/>
              <w:jc w:val="both"/>
              <w:rPr>
                <w:rFonts w:ascii="Arial" w:hAnsi="Arial" w:cs="Arial"/>
                <w:b/>
                <w:sz w:val="18"/>
                <w:szCs w:val="18"/>
                <w:lang w:val="en-US"/>
              </w:rPr>
            </w:pPr>
            <w:r w:rsidRPr="00182EE7">
              <w:rPr>
                <w:rFonts w:ascii="Arial" w:hAnsi="Arial" w:cs="Arial"/>
                <w:b/>
                <w:i/>
                <w:sz w:val="18"/>
                <w:szCs w:val="18"/>
                <w:lang w:val="en-US"/>
              </w:rPr>
              <w:t xml:space="preserve">4: </w:t>
            </w:r>
            <w:r w:rsidRPr="00182EE7">
              <w:rPr>
                <w:rFonts w:ascii="Arial" w:hAnsi="Arial" w:cs="Arial"/>
                <w:b/>
                <w:sz w:val="18"/>
                <w:szCs w:val="18"/>
                <w:lang w:val="en-US"/>
              </w:rPr>
              <w:t>Production and Costs. Production functions, returns to scale, cost functions</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6,7</w:t>
            </w:r>
          </w:p>
        </w:tc>
      </w:tr>
      <w:tr w:rsidR="00F52239" w:rsidRPr="00182EE7" w:rsidTr="007948CA">
        <w:trPr>
          <w:trHeight w:val="312"/>
        </w:trPr>
        <w:tc>
          <w:tcPr>
            <w:tcW w:w="2630" w:type="pct"/>
            <w:tcMar>
              <w:top w:w="72" w:type="dxa"/>
              <w:left w:w="115" w:type="dxa"/>
              <w:bottom w:w="72" w:type="dxa"/>
              <w:right w:w="115" w:type="dxa"/>
            </w:tcMar>
            <w:vAlign w:val="center"/>
          </w:tcPr>
          <w:p w:rsidR="00F52239" w:rsidRPr="00182EE7" w:rsidRDefault="00F52239" w:rsidP="007948CA">
            <w:pPr>
              <w:widowControl w:val="0"/>
              <w:tabs>
                <w:tab w:val="left" w:pos="72"/>
              </w:tabs>
              <w:snapToGrid w:val="0"/>
              <w:spacing w:after="200"/>
              <w:jc w:val="both"/>
              <w:rPr>
                <w:rFonts w:ascii="Arial" w:hAnsi="Arial" w:cs="Arial"/>
                <w:b/>
                <w:sz w:val="18"/>
                <w:szCs w:val="18"/>
                <w:lang w:val="en-US"/>
              </w:rPr>
            </w:pPr>
            <w:r w:rsidRPr="00182EE7">
              <w:rPr>
                <w:rFonts w:ascii="Arial" w:hAnsi="Arial" w:cs="Arial"/>
                <w:b/>
                <w:i/>
                <w:sz w:val="18"/>
                <w:szCs w:val="18"/>
                <w:lang w:val="en-US"/>
              </w:rPr>
              <w:t xml:space="preserve">5: </w:t>
            </w:r>
            <w:r w:rsidRPr="00182EE7">
              <w:rPr>
                <w:rFonts w:ascii="Arial" w:hAnsi="Arial" w:cs="Arial"/>
                <w:b/>
                <w:sz w:val="18"/>
                <w:szCs w:val="18"/>
                <w:lang w:val="en-US"/>
              </w:rPr>
              <w:t>Profit Maximization. Perfectly competitive markets, profit maximization, marginal revenue, marginal cost</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8</w:t>
            </w:r>
          </w:p>
        </w:tc>
      </w:tr>
      <w:tr w:rsidR="00F52239" w:rsidRPr="00182EE7" w:rsidTr="007948CA">
        <w:trPr>
          <w:trHeight w:val="312"/>
        </w:trPr>
        <w:tc>
          <w:tcPr>
            <w:tcW w:w="2630" w:type="pct"/>
            <w:tcMar>
              <w:top w:w="72" w:type="dxa"/>
              <w:left w:w="115" w:type="dxa"/>
              <w:bottom w:w="72" w:type="dxa"/>
              <w:right w:w="115" w:type="dxa"/>
            </w:tcMar>
          </w:tcPr>
          <w:p w:rsidR="00F52239" w:rsidRPr="00182EE7" w:rsidRDefault="00F52239" w:rsidP="007948CA">
            <w:pPr>
              <w:rPr>
                <w:rFonts w:ascii="Arial" w:hAnsi="Arial" w:cs="Arial"/>
                <w:b/>
                <w:sz w:val="18"/>
                <w:szCs w:val="18"/>
                <w:lang w:val="en-US"/>
              </w:rPr>
            </w:pPr>
            <w:r w:rsidRPr="00182EE7">
              <w:rPr>
                <w:rFonts w:ascii="Arial" w:hAnsi="Arial" w:cs="Arial"/>
                <w:b/>
                <w:sz w:val="18"/>
                <w:szCs w:val="18"/>
                <w:lang w:val="en-US"/>
              </w:rPr>
              <w:t>Midterm: Topics 1-5</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2</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p>
        </w:tc>
      </w:tr>
      <w:tr w:rsidR="00F52239" w:rsidRPr="00182EE7" w:rsidTr="007948CA">
        <w:trPr>
          <w:trHeight w:val="312"/>
        </w:trPr>
        <w:tc>
          <w:tcPr>
            <w:tcW w:w="2630" w:type="pct"/>
            <w:tcMar>
              <w:top w:w="72" w:type="dxa"/>
              <w:left w:w="115" w:type="dxa"/>
              <w:bottom w:w="72" w:type="dxa"/>
              <w:right w:w="115" w:type="dxa"/>
            </w:tcMar>
            <w:vAlign w:val="center"/>
          </w:tcPr>
          <w:p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6:</w:t>
            </w:r>
            <w:r w:rsidRPr="00182EE7">
              <w:rPr>
                <w:rFonts w:ascii="Arial" w:hAnsi="Arial" w:cs="Arial"/>
                <w:b/>
                <w:i/>
                <w:sz w:val="18"/>
                <w:szCs w:val="18"/>
                <w:lang w:val="en-US"/>
              </w:rPr>
              <w:t xml:space="preserve"> </w:t>
            </w:r>
            <w:r w:rsidRPr="00182EE7">
              <w:rPr>
                <w:rFonts w:ascii="Arial" w:hAnsi="Arial" w:cs="Arial"/>
                <w:b/>
                <w:sz w:val="18"/>
                <w:szCs w:val="18"/>
                <w:lang w:val="en-US"/>
              </w:rPr>
              <w:t>The Analysis of Competitive Markets. Evaluating the gains and losses from government policies</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9</w:t>
            </w:r>
          </w:p>
        </w:tc>
      </w:tr>
      <w:tr w:rsidR="00F52239" w:rsidRPr="00182EE7" w:rsidTr="007948CA">
        <w:trPr>
          <w:trHeight w:val="312"/>
        </w:trPr>
        <w:tc>
          <w:tcPr>
            <w:tcW w:w="2630" w:type="pct"/>
            <w:tcMar>
              <w:top w:w="72" w:type="dxa"/>
              <w:left w:w="115" w:type="dxa"/>
              <w:bottom w:w="72" w:type="dxa"/>
              <w:right w:w="115" w:type="dxa"/>
            </w:tcMar>
          </w:tcPr>
          <w:p w:rsidR="00F52239" w:rsidRPr="00182EE7" w:rsidRDefault="00F52239" w:rsidP="007948CA">
            <w:pPr>
              <w:widowControl w:val="0"/>
              <w:tabs>
                <w:tab w:val="left" w:pos="4929"/>
              </w:tabs>
              <w:snapToGrid w:val="0"/>
              <w:spacing w:after="200"/>
              <w:jc w:val="both"/>
              <w:rPr>
                <w:rFonts w:ascii="Arial" w:hAnsi="Arial" w:cs="Arial"/>
                <w:b/>
                <w:sz w:val="18"/>
                <w:szCs w:val="18"/>
                <w:lang w:val="en-US"/>
              </w:rPr>
            </w:pPr>
            <w:r w:rsidRPr="00182EE7">
              <w:rPr>
                <w:rFonts w:ascii="Arial" w:hAnsi="Arial" w:cs="Arial"/>
                <w:b/>
                <w:sz w:val="18"/>
                <w:szCs w:val="18"/>
                <w:lang w:val="en-US"/>
              </w:rPr>
              <w:t xml:space="preserve">7:  Monopoly and Monopsony. Evaluating monopolies and monopsonies </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10</w:t>
            </w:r>
          </w:p>
        </w:tc>
      </w:tr>
      <w:tr w:rsidR="00F52239" w:rsidRPr="00182EE7" w:rsidTr="007948CA">
        <w:trPr>
          <w:trHeight w:val="312"/>
        </w:trPr>
        <w:tc>
          <w:tcPr>
            <w:tcW w:w="2630" w:type="pct"/>
            <w:tcMar>
              <w:top w:w="72" w:type="dxa"/>
              <w:left w:w="115" w:type="dxa"/>
              <w:bottom w:w="72" w:type="dxa"/>
              <w:right w:w="115" w:type="dxa"/>
            </w:tcMar>
          </w:tcPr>
          <w:p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8: Monopolistic Competition and Oligopoly; Market Power and Pricing: Monopolistic competition, the several forms of oligopoly, capturing consumer surplus, price discrimination</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 xml:space="preserve">Ch 12, 11 </w:t>
            </w:r>
          </w:p>
        </w:tc>
      </w:tr>
      <w:tr w:rsidR="00F52239" w:rsidRPr="00182EE7" w:rsidTr="007948CA">
        <w:trPr>
          <w:trHeight w:val="312"/>
        </w:trPr>
        <w:tc>
          <w:tcPr>
            <w:tcW w:w="2630" w:type="pct"/>
            <w:tcMar>
              <w:top w:w="72" w:type="dxa"/>
              <w:left w:w="115" w:type="dxa"/>
              <w:bottom w:w="72" w:type="dxa"/>
              <w:right w:w="115" w:type="dxa"/>
            </w:tcMar>
          </w:tcPr>
          <w:p w:rsidR="00F52239" w:rsidRPr="00182EE7" w:rsidRDefault="00F52239" w:rsidP="007948CA">
            <w:pPr>
              <w:widowControl w:val="0"/>
              <w:tabs>
                <w:tab w:val="left" w:pos="4929"/>
              </w:tabs>
              <w:snapToGrid w:val="0"/>
              <w:spacing w:after="200"/>
              <w:jc w:val="both"/>
              <w:rPr>
                <w:rFonts w:ascii="Arial" w:hAnsi="Arial" w:cs="Arial"/>
                <w:b/>
                <w:sz w:val="18"/>
                <w:szCs w:val="18"/>
                <w:lang w:val="en-US"/>
              </w:rPr>
            </w:pPr>
            <w:r w:rsidRPr="00182EE7">
              <w:rPr>
                <w:rFonts w:ascii="Arial" w:hAnsi="Arial" w:cs="Arial"/>
                <w:b/>
                <w:sz w:val="18"/>
                <w:szCs w:val="18"/>
                <w:lang w:val="en-US"/>
              </w:rPr>
              <w:t>9: Markets for Factor Inputs. Markets for labor and materials used in production, present values, the effect of interest on Investments</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14, 15</w:t>
            </w:r>
          </w:p>
        </w:tc>
      </w:tr>
      <w:tr w:rsidR="00F52239" w:rsidRPr="00182EE7" w:rsidTr="007948CA">
        <w:trPr>
          <w:trHeight w:val="312"/>
        </w:trPr>
        <w:tc>
          <w:tcPr>
            <w:tcW w:w="2630" w:type="pct"/>
            <w:tcMar>
              <w:top w:w="72" w:type="dxa"/>
              <w:left w:w="115" w:type="dxa"/>
              <w:bottom w:w="72" w:type="dxa"/>
              <w:right w:w="115" w:type="dxa"/>
            </w:tcMar>
          </w:tcPr>
          <w:p w:rsidR="00F52239" w:rsidRPr="00182EE7" w:rsidRDefault="00F52239" w:rsidP="007948CA">
            <w:pPr>
              <w:widowControl w:val="0"/>
              <w:tabs>
                <w:tab w:val="left" w:pos="4929"/>
              </w:tabs>
              <w:snapToGrid w:val="0"/>
              <w:jc w:val="both"/>
              <w:rPr>
                <w:rFonts w:ascii="Arial" w:hAnsi="Arial" w:cs="Arial"/>
                <w:b/>
                <w:sz w:val="18"/>
                <w:szCs w:val="18"/>
                <w:lang w:val="en-US"/>
              </w:rPr>
            </w:pPr>
            <w:r w:rsidRPr="00182EE7">
              <w:rPr>
                <w:rFonts w:ascii="Arial" w:hAnsi="Arial" w:cs="Arial"/>
                <w:b/>
                <w:sz w:val="18"/>
                <w:szCs w:val="18"/>
                <w:lang w:val="en-US"/>
              </w:rPr>
              <w:t>10:  General Equilibrium. General equilibrium analysis, efficiency in exchange, trade and comparative advantage</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shd w:val="clear" w:color="auto" w:fill="auto"/>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16</w:t>
            </w:r>
          </w:p>
        </w:tc>
      </w:tr>
      <w:tr w:rsidR="00F52239" w:rsidRPr="00182EE7" w:rsidTr="007948CA">
        <w:trPr>
          <w:trHeight w:val="312"/>
        </w:trPr>
        <w:tc>
          <w:tcPr>
            <w:tcW w:w="2630" w:type="pct"/>
            <w:tcMar>
              <w:top w:w="72" w:type="dxa"/>
              <w:left w:w="115" w:type="dxa"/>
              <w:bottom w:w="72" w:type="dxa"/>
              <w:right w:w="115" w:type="dxa"/>
            </w:tcMar>
          </w:tcPr>
          <w:p w:rsidR="00F52239" w:rsidRPr="00182EE7" w:rsidRDefault="00F52239" w:rsidP="007948CA">
            <w:pPr>
              <w:widowControl w:val="0"/>
              <w:tabs>
                <w:tab w:val="left" w:pos="4929"/>
              </w:tabs>
              <w:snapToGrid w:val="0"/>
              <w:jc w:val="both"/>
              <w:rPr>
                <w:rFonts w:ascii="Arial" w:hAnsi="Arial" w:cs="Arial"/>
                <w:b/>
                <w:sz w:val="18"/>
                <w:szCs w:val="18"/>
                <w:lang w:val="en-US"/>
              </w:rPr>
            </w:pPr>
            <w:r w:rsidRPr="00182EE7">
              <w:rPr>
                <w:rFonts w:ascii="Arial" w:hAnsi="Arial" w:cs="Arial"/>
                <w:b/>
                <w:sz w:val="18"/>
                <w:szCs w:val="18"/>
                <w:lang w:val="en-US"/>
              </w:rPr>
              <w:t xml:space="preserve">11: Externalities and Public goods. </w:t>
            </w:r>
            <w:r w:rsidRPr="00182EE7">
              <w:rPr>
                <w:rFonts w:ascii="Arial" w:hAnsi="Arial" w:cs="Arial"/>
                <w:b/>
                <w:iCs/>
                <w:sz w:val="18"/>
                <w:szCs w:val="18"/>
                <w:lang w:val="en-US"/>
              </w:rPr>
              <w:t>External effects on consumption and production. Possible solutions.</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18</w:t>
            </w:r>
          </w:p>
        </w:tc>
      </w:tr>
      <w:tr w:rsidR="00F52239" w:rsidRPr="00182EE7" w:rsidTr="007948CA">
        <w:trPr>
          <w:trHeight w:val="312"/>
        </w:trPr>
        <w:tc>
          <w:tcPr>
            <w:tcW w:w="2630" w:type="pct"/>
            <w:tcMar>
              <w:top w:w="72" w:type="dxa"/>
              <w:left w:w="115" w:type="dxa"/>
              <w:bottom w:w="72" w:type="dxa"/>
              <w:right w:w="115" w:type="dxa"/>
            </w:tcMar>
          </w:tcPr>
          <w:p w:rsidR="00F52239" w:rsidRPr="00182EE7" w:rsidRDefault="00F52239" w:rsidP="007948CA">
            <w:pPr>
              <w:widowControl w:val="0"/>
              <w:tabs>
                <w:tab w:val="left" w:pos="4929"/>
              </w:tabs>
              <w:snapToGrid w:val="0"/>
              <w:jc w:val="both"/>
              <w:rPr>
                <w:rFonts w:ascii="Arial" w:hAnsi="Arial" w:cs="Arial"/>
                <w:b/>
                <w:sz w:val="18"/>
                <w:szCs w:val="18"/>
                <w:lang w:val="en-US"/>
              </w:rPr>
            </w:pPr>
            <w:r w:rsidRPr="00182EE7">
              <w:rPr>
                <w:rFonts w:ascii="Arial" w:hAnsi="Arial" w:cs="Arial"/>
                <w:b/>
                <w:sz w:val="18"/>
                <w:szCs w:val="18"/>
                <w:lang w:val="en-US"/>
              </w:rPr>
              <w:t>12: Markets with Asymmetric Information. Quality uncertainty and the market for lemons, market signaling, moral hazard</w:t>
            </w:r>
          </w:p>
        </w:tc>
        <w:tc>
          <w:tcPr>
            <w:tcW w:w="640" w:type="pct"/>
            <w:tcMar>
              <w:top w:w="72" w:type="dxa"/>
              <w:left w:w="115" w:type="dxa"/>
              <w:bottom w:w="72" w:type="dxa"/>
              <w:right w:w="115" w:type="dxa"/>
            </w:tcMar>
          </w:tcPr>
          <w:p w:rsidR="00F52239" w:rsidRPr="00182EE7" w:rsidRDefault="00182EE7" w:rsidP="007948CA">
            <w:pPr>
              <w:jc w:val="center"/>
              <w:rPr>
                <w:rFonts w:ascii="Arial" w:hAnsi="Arial" w:cs="Arial"/>
                <w:bCs/>
                <w:sz w:val="18"/>
                <w:szCs w:val="18"/>
                <w:lang w:val="en-US"/>
              </w:rPr>
            </w:pPr>
            <w:r w:rsidRPr="00182EE7">
              <w:rPr>
                <w:rFonts w:ascii="Arial" w:hAnsi="Arial" w:cs="Arial"/>
                <w:bCs/>
                <w:sz w:val="18"/>
                <w:szCs w:val="18"/>
                <w:lang w:val="en-US"/>
              </w:rPr>
              <w:t>2</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17</w:t>
            </w:r>
          </w:p>
        </w:tc>
      </w:tr>
      <w:tr w:rsidR="00F52239" w:rsidRPr="00182EE7" w:rsidTr="007948CA">
        <w:trPr>
          <w:trHeight w:val="312"/>
        </w:trPr>
        <w:tc>
          <w:tcPr>
            <w:tcW w:w="2630" w:type="pct"/>
            <w:tcMar>
              <w:top w:w="72" w:type="dxa"/>
              <w:left w:w="115" w:type="dxa"/>
              <w:bottom w:w="72" w:type="dxa"/>
              <w:right w:w="115" w:type="dxa"/>
            </w:tcMar>
            <w:vAlign w:val="center"/>
          </w:tcPr>
          <w:p w:rsidR="00F52239" w:rsidRPr="00182EE7" w:rsidRDefault="00F52239" w:rsidP="007948CA">
            <w:pPr>
              <w:rPr>
                <w:rFonts w:ascii="Arial" w:hAnsi="Arial" w:cs="Arial"/>
                <w:sz w:val="18"/>
                <w:szCs w:val="18"/>
                <w:lang w:val="en-US"/>
              </w:rPr>
            </w:pP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
                <w:bCs/>
                <w:sz w:val="18"/>
                <w:szCs w:val="18"/>
                <w:lang w:val="en-US"/>
              </w:rPr>
              <w:t xml:space="preserve">Total: 48 hours </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p>
        </w:tc>
      </w:tr>
      <w:tr w:rsidR="00F52239" w:rsidRPr="00182EE7" w:rsidTr="007948CA">
        <w:trPr>
          <w:trHeight w:val="312"/>
        </w:trPr>
        <w:tc>
          <w:tcPr>
            <w:tcW w:w="2630" w:type="pct"/>
            <w:tcMar>
              <w:top w:w="72" w:type="dxa"/>
              <w:left w:w="115" w:type="dxa"/>
              <w:bottom w:w="72" w:type="dxa"/>
              <w:right w:w="115" w:type="dxa"/>
            </w:tcMar>
            <w:vAlign w:val="center"/>
          </w:tcPr>
          <w:p w:rsidR="00F52239" w:rsidRPr="00182EE7" w:rsidRDefault="00F52239" w:rsidP="007948CA">
            <w:pPr>
              <w:rPr>
                <w:rFonts w:ascii="Arial" w:hAnsi="Arial" w:cs="Arial"/>
                <w:sz w:val="18"/>
                <w:szCs w:val="18"/>
                <w:lang w:val="en-US"/>
              </w:rPr>
            </w:pPr>
            <w:r w:rsidRPr="00182EE7">
              <w:rPr>
                <w:rFonts w:ascii="Arial" w:hAnsi="Arial" w:cs="Arial"/>
                <w:sz w:val="18"/>
                <w:szCs w:val="18"/>
                <w:lang w:val="en-US"/>
              </w:rPr>
              <w:t>CONSULTATIONS</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6</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p>
        </w:tc>
      </w:tr>
      <w:tr w:rsidR="00F52239" w:rsidRPr="00182EE7" w:rsidTr="007948CA">
        <w:trPr>
          <w:trHeight w:val="312"/>
        </w:trPr>
        <w:tc>
          <w:tcPr>
            <w:tcW w:w="2630" w:type="pct"/>
            <w:tcMar>
              <w:top w:w="72" w:type="dxa"/>
              <w:left w:w="115" w:type="dxa"/>
              <w:bottom w:w="72" w:type="dxa"/>
              <w:right w:w="115" w:type="dxa"/>
            </w:tcMar>
            <w:vAlign w:val="center"/>
          </w:tcPr>
          <w:p w:rsidR="00F52239" w:rsidRPr="00182EE7" w:rsidRDefault="00F52239" w:rsidP="007948CA">
            <w:pPr>
              <w:rPr>
                <w:rFonts w:ascii="Arial" w:hAnsi="Arial" w:cs="Arial"/>
                <w:color w:val="000000"/>
                <w:sz w:val="18"/>
                <w:szCs w:val="18"/>
                <w:lang w:val="en-US"/>
              </w:rPr>
            </w:pPr>
            <w:r w:rsidRPr="00182EE7">
              <w:rPr>
                <w:rFonts w:ascii="Arial" w:hAnsi="Arial" w:cs="Arial"/>
                <w:color w:val="000000"/>
                <w:sz w:val="18"/>
                <w:szCs w:val="18"/>
                <w:lang w:val="en-US"/>
              </w:rPr>
              <w:t>FINAL EXAM</w:t>
            </w:r>
          </w:p>
        </w:tc>
        <w:tc>
          <w:tcPr>
            <w:tcW w:w="640" w:type="pct"/>
            <w:tcMar>
              <w:top w:w="72" w:type="dxa"/>
              <w:left w:w="115" w:type="dxa"/>
              <w:bottom w:w="72" w:type="dxa"/>
              <w:right w:w="115" w:type="dxa"/>
            </w:tcMar>
            <w:vAlign w:val="center"/>
          </w:tcPr>
          <w:p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2</w:t>
            </w:r>
          </w:p>
        </w:tc>
        <w:tc>
          <w:tcPr>
            <w:tcW w:w="1730" w:type="pct"/>
            <w:tcMar>
              <w:top w:w="72" w:type="dxa"/>
              <w:left w:w="115" w:type="dxa"/>
              <w:bottom w:w="72" w:type="dxa"/>
              <w:right w:w="115" w:type="dxa"/>
            </w:tcMar>
            <w:vAlign w:val="center"/>
          </w:tcPr>
          <w:p w:rsidR="00F52239" w:rsidRPr="00182EE7" w:rsidRDefault="00F52239" w:rsidP="007948CA">
            <w:pPr>
              <w:rPr>
                <w:rFonts w:ascii="Arial" w:hAnsi="Arial" w:cs="Arial"/>
                <w:bCs/>
                <w:sz w:val="18"/>
                <w:szCs w:val="18"/>
                <w:lang w:val="en-US"/>
              </w:rPr>
            </w:pPr>
          </w:p>
        </w:tc>
      </w:tr>
    </w:tbl>
    <w:p w:rsidR="00351347" w:rsidRDefault="00351347" w:rsidP="009C0B46">
      <w:pPr>
        <w:rPr>
          <w:rFonts w:ascii="Arial" w:hAnsi="Arial" w:cs="Arial"/>
          <w:sz w:val="18"/>
          <w:szCs w:val="18"/>
          <w:lang w:val="en-US"/>
        </w:rPr>
      </w:pPr>
    </w:p>
    <w:p w:rsidR="00EB6CC4" w:rsidRDefault="00EB6CC4" w:rsidP="00182EE7">
      <w:pPr>
        <w:rPr>
          <w:rFonts w:ascii="Arial" w:hAnsi="Arial" w:cs="Arial"/>
          <w:b/>
          <w:sz w:val="18"/>
          <w:szCs w:val="18"/>
        </w:rPr>
      </w:pPr>
    </w:p>
    <w:p w:rsidR="00EB6CC4" w:rsidRDefault="00EB6CC4" w:rsidP="00182EE7">
      <w:pPr>
        <w:rPr>
          <w:rFonts w:ascii="Arial" w:hAnsi="Arial" w:cs="Arial"/>
          <w:b/>
          <w:sz w:val="18"/>
          <w:szCs w:val="18"/>
        </w:rPr>
      </w:pPr>
    </w:p>
    <w:p w:rsidR="00EB6CC4" w:rsidRDefault="00EB6CC4" w:rsidP="00182EE7">
      <w:pPr>
        <w:rPr>
          <w:rFonts w:ascii="Arial" w:hAnsi="Arial" w:cs="Arial"/>
          <w:b/>
          <w:sz w:val="18"/>
          <w:szCs w:val="18"/>
        </w:rPr>
      </w:pPr>
    </w:p>
    <w:p w:rsidR="00EB6CC4" w:rsidRDefault="00EB6CC4" w:rsidP="00182EE7">
      <w:pPr>
        <w:rPr>
          <w:rFonts w:ascii="Arial" w:hAnsi="Arial" w:cs="Arial"/>
          <w:b/>
          <w:sz w:val="18"/>
          <w:szCs w:val="18"/>
        </w:rPr>
      </w:pPr>
    </w:p>
    <w:p w:rsidR="00EB6CC4" w:rsidRDefault="00EB6CC4" w:rsidP="00182EE7">
      <w:pPr>
        <w:rPr>
          <w:rFonts w:ascii="Arial" w:hAnsi="Arial" w:cs="Arial"/>
          <w:b/>
          <w:sz w:val="18"/>
          <w:szCs w:val="18"/>
        </w:rPr>
      </w:pPr>
    </w:p>
    <w:p w:rsidR="00EB6CC4" w:rsidRDefault="00EB6CC4" w:rsidP="00182EE7">
      <w:pPr>
        <w:rPr>
          <w:rFonts w:ascii="Arial" w:hAnsi="Arial" w:cs="Arial"/>
          <w:b/>
          <w:sz w:val="18"/>
          <w:szCs w:val="18"/>
        </w:rPr>
      </w:pPr>
    </w:p>
    <w:p w:rsidR="00182EE7" w:rsidRPr="0073580A" w:rsidRDefault="00182EE7" w:rsidP="00182EE7">
      <w:pPr>
        <w:rPr>
          <w:rFonts w:ascii="Arial" w:hAnsi="Arial" w:cs="Arial"/>
          <w:b/>
          <w:sz w:val="18"/>
          <w:szCs w:val="18"/>
        </w:rPr>
      </w:pPr>
      <w:r w:rsidRPr="0073580A">
        <w:rPr>
          <w:rFonts w:ascii="Arial" w:hAnsi="Arial" w:cs="Arial"/>
          <w:b/>
          <w:sz w:val="18"/>
          <w:szCs w:val="18"/>
        </w:rPr>
        <w:t>FINAL GRADE COMPOSITION</w:t>
      </w:r>
    </w:p>
    <w:p w:rsidR="00182EE7" w:rsidRPr="0073580A" w:rsidRDefault="00182EE7" w:rsidP="00182EE7">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6"/>
        <w:gridCol w:w="3331"/>
      </w:tblGrid>
      <w:tr w:rsidR="00182EE7" w:rsidRPr="0073580A" w:rsidTr="007948CA">
        <w:trPr>
          <w:trHeight w:val="411"/>
        </w:trPr>
        <w:tc>
          <w:tcPr>
            <w:tcW w:w="3270" w:type="pct"/>
            <w:tcMar>
              <w:top w:w="29" w:type="dxa"/>
              <w:left w:w="115" w:type="dxa"/>
              <w:bottom w:w="29" w:type="dxa"/>
              <w:right w:w="115" w:type="dxa"/>
            </w:tcMar>
            <w:vAlign w:val="center"/>
          </w:tcPr>
          <w:p w:rsidR="00182EE7" w:rsidRPr="0073580A" w:rsidRDefault="00182EE7" w:rsidP="007948CA">
            <w:pPr>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rsidR="00182EE7" w:rsidRPr="0073580A" w:rsidRDefault="00182EE7" w:rsidP="007948CA">
            <w:pPr>
              <w:spacing w:before="120"/>
              <w:jc w:val="center"/>
              <w:rPr>
                <w:rFonts w:ascii="Arial" w:hAnsi="Arial" w:cs="Arial"/>
                <w:b/>
                <w:bCs/>
                <w:sz w:val="18"/>
                <w:szCs w:val="18"/>
              </w:rPr>
            </w:pPr>
            <w:r w:rsidRPr="0073580A">
              <w:rPr>
                <w:rFonts w:ascii="Arial" w:hAnsi="Arial" w:cs="Arial"/>
                <w:b/>
                <w:bCs/>
                <w:sz w:val="18"/>
                <w:szCs w:val="18"/>
              </w:rPr>
              <w:t>%</w:t>
            </w:r>
          </w:p>
        </w:tc>
      </w:tr>
      <w:tr w:rsidR="00182EE7" w:rsidRPr="0073580A" w:rsidTr="007948CA">
        <w:trPr>
          <w:trHeight w:val="125"/>
        </w:trPr>
        <w:tc>
          <w:tcPr>
            <w:tcW w:w="3270" w:type="pct"/>
            <w:tcMar>
              <w:top w:w="29" w:type="dxa"/>
              <w:left w:w="115" w:type="dxa"/>
              <w:bottom w:w="29" w:type="dxa"/>
              <w:right w:w="115" w:type="dxa"/>
            </w:tcMar>
            <w:vAlign w:val="center"/>
          </w:tcPr>
          <w:p w:rsidR="00182EE7" w:rsidRPr="0073580A" w:rsidRDefault="00182EE7" w:rsidP="007948CA">
            <w:pPr>
              <w:spacing w:before="120"/>
              <w:rPr>
                <w:rFonts w:ascii="Arial" w:hAnsi="Arial" w:cs="Arial"/>
                <w:bCs/>
                <w:sz w:val="18"/>
                <w:szCs w:val="18"/>
              </w:rPr>
            </w:pPr>
            <w:r w:rsidRPr="0073580A">
              <w:rPr>
                <w:rFonts w:ascii="Arial" w:hAnsi="Arial" w:cs="Arial"/>
                <w:i/>
                <w:sz w:val="18"/>
                <w:szCs w:val="18"/>
              </w:rPr>
              <w:t xml:space="preserve">Group Components </w:t>
            </w:r>
            <w:r>
              <w:rPr>
                <w:rFonts w:ascii="Arial" w:hAnsi="Arial" w:cs="Arial"/>
                <w:i/>
                <w:sz w:val="18"/>
                <w:szCs w:val="18"/>
              </w:rPr>
              <w:t>15%</w:t>
            </w:r>
          </w:p>
        </w:tc>
        <w:tc>
          <w:tcPr>
            <w:tcW w:w="1730" w:type="pct"/>
            <w:tcMar>
              <w:top w:w="29" w:type="dxa"/>
              <w:left w:w="115" w:type="dxa"/>
              <w:bottom w:w="29" w:type="dxa"/>
              <w:right w:w="115" w:type="dxa"/>
            </w:tcMar>
            <w:vAlign w:val="center"/>
          </w:tcPr>
          <w:p w:rsidR="00182EE7" w:rsidRPr="0073580A" w:rsidRDefault="00182EE7" w:rsidP="007948CA">
            <w:pPr>
              <w:spacing w:before="120"/>
              <w:jc w:val="center"/>
              <w:rPr>
                <w:rFonts w:ascii="Arial" w:hAnsi="Arial" w:cs="Arial"/>
                <w:sz w:val="18"/>
                <w:szCs w:val="18"/>
              </w:rPr>
            </w:pPr>
          </w:p>
        </w:tc>
      </w:tr>
      <w:tr w:rsidR="00182EE7" w:rsidRPr="00A41EFE" w:rsidTr="007948CA">
        <w:trPr>
          <w:trHeight w:val="168"/>
        </w:trPr>
        <w:tc>
          <w:tcPr>
            <w:tcW w:w="3270" w:type="pct"/>
            <w:tcMar>
              <w:top w:w="29" w:type="dxa"/>
              <w:left w:w="115" w:type="dxa"/>
              <w:bottom w:w="29" w:type="dxa"/>
              <w:right w:w="115" w:type="dxa"/>
            </w:tcMar>
            <w:vAlign w:val="center"/>
          </w:tcPr>
          <w:p w:rsidR="00182EE7" w:rsidRPr="00A41EFE" w:rsidRDefault="00182EE7" w:rsidP="00182EE7">
            <w:pPr>
              <w:spacing w:before="120"/>
              <w:jc w:val="center"/>
              <w:rPr>
                <w:rFonts w:ascii="Arial" w:hAnsi="Arial" w:cs="Arial"/>
                <w:iCs/>
                <w:sz w:val="18"/>
                <w:szCs w:val="18"/>
              </w:rPr>
            </w:pPr>
            <w:r>
              <w:rPr>
                <w:rFonts w:ascii="Arial" w:hAnsi="Arial" w:cs="Arial"/>
                <w:iCs/>
                <w:sz w:val="18"/>
                <w:szCs w:val="18"/>
              </w:rPr>
              <w:t>Group Homework Presentation</w:t>
            </w:r>
          </w:p>
        </w:tc>
        <w:tc>
          <w:tcPr>
            <w:tcW w:w="1730" w:type="pct"/>
            <w:tcMar>
              <w:top w:w="29" w:type="dxa"/>
              <w:left w:w="115" w:type="dxa"/>
              <w:bottom w:w="29" w:type="dxa"/>
              <w:right w:w="115" w:type="dxa"/>
            </w:tcMar>
            <w:vAlign w:val="center"/>
          </w:tcPr>
          <w:p w:rsidR="00182EE7" w:rsidRPr="00A41EFE" w:rsidRDefault="00182EE7" w:rsidP="00182EE7">
            <w:pPr>
              <w:spacing w:before="120"/>
              <w:jc w:val="center"/>
              <w:rPr>
                <w:rFonts w:ascii="Arial" w:hAnsi="Arial" w:cs="Arial"/>
                <w:iCs/>
                <w:sz w:val="18"/>
                <w:szCs w:val="18"/>
              </w:rPr>
            </w:pPr>
            <w:r>
              <w:rPr>
                <w:rFonts w:ascii="Arial" w:hAnsi="Arial" w:cs="Arial"/>
                <w:iCs/>
                <w:sz w:val="18"/>
                <w:szCs w:val="18"/>
              </w:rPr>
              <w:t>15%</w:t>
            </w:r>
          </w:p>
        </w:tc>
      </w:tr>
      <w:tr w:rsidR="00182EE7" w:rsidRPr="0073580A" w:rsidTr="007948CA">
        <w:trPr>
          <w:trHeight w:val="245"/>
        </w:trPr>
        <w:tc>
          <w:tcPr>
            <w:tcW w:w="3270" w:type="pct"/>
            <w:tcMar>
              <w:top w:w="29" w:type="dxa"/>
              <w:left w:w="115" w:type="dxa"/>
              <w:bottom w:w="29" w:type="dxa"/>
              <w:right w:w="115" w:type="dxa"/>
            </w:tcMar>
            <w:vAlign w:val="center"/>
          </w:tcPr>
          <w:p w:rsidR="00182EE7" w:rsidRPr="0073580A" w:rsidRDefault="00182EE7" w:rsidP="007948CA">
            <w:pPr>
              <w:spacing w:before="120"/>
              <w:rPr>
                <w:rFonts w:ascii="Arial" w:hAnsi="Arial" w:cs="Arial"/>
                <w:iCs/>
                <w:sz w:val="18"/>
                <w:szCs w:val="18"/>
              </w:rPr>
            </w:pPr>
          </w:p>
        </w:tc>
        <w:tc>
          <w:tcPr>
            <w:tcW w:w="1730" w:type="pct"/>
            <w:tcMar>
              <w:top w:w="29" w:type="dxa"/>
              <w:left w:w="115" w:type="dxa"/>
              <w:bottom w:w="29" w:type="dxa"/>
              <w:right w:w="115" w:type="dxa"/>
            </w:tcMar>
            <w:vAlign w:val="center"/>
          </w:tcPr>
          <w:p w:rsidR="00182EE7" w:rsidRPr="0073580A" w:rsidRDefault="00182EE7" w:rsidP="007948CA">
            <w:pPr>
              <w:spacing w:before="120"/>
              <w:jc w:val="center"/>
              <w:rPr>
                <w:rFonts w:ascii="Arial" w:hAnsi="Arial" w:cs="Arial"/>
                <w:sz w:val="18"/>
                <w:szCs w:val="18"/>
              </w:rPr>
            </w:pPr>
          </w:p>
        </w:tc>
      </w:tr>
      <w:tr w:rsidR="00182EE7" w:rsidRPr="0073580A" w:rsidTr="007948CA">
        <w:trPr>
          <w:trHeight w:val="245"/>
        </w:trPr>
        <w:tc>
          <w:tcPr>
            <w:tcW w:w="3270" w:type="pct"/>
            <w:tcMar>
              <w:top w:w="29" w:type="dxa"/>
              <w:left w:w="115" w:type="dxa"/>
              <w:bottom w:w="29" w:type="dxa"/>
              <w:right w:w="115" w:type="dxa"/>
            </w:tcMar>
            <w:vAlign w:val="center"/>
          </w:tcPr>
          <w:p w:rsidR="00182EE7" w:rsidRPr="0073580A" w:rsidRDefault="00182EE7" w:rsidP="007948CA">
            <w:pPr>
              <w:spacing w:before="120"/>
              <w:rPr>
                <w:rFonts w:ascii="Arial" w:hAnsi="Arial" w:cs="Arial"/>
                <w:i/>
                <w:sz w:val="18"/>
                <w:szCs w:val="18"/>
              </w:rPr>
            </w:pPr>
            <w:r w:rsidRPr="0073580A">
              <w:rPr>
                <w:rFonts w:ascii="Arial" w:hAnsi="Arial" w:cs="Arial"/>
                <w:i/>
                <w:sz w:val="18"/>
                <w:szCs w:val="18"/>
              </w:rPr>
              <w:t xml:space="preserve">Individual Components </w:t>
            </w:r>
            <w:r>
              <w:rPr>
                <w:rFonts w:ascii="Arial" w:hAnsi="Arial" w:cs="Arial"/>
                <w:i/>
                <w:sz w:val="18"/>
                <w:szCs w:val="18"/>
              </w:rPr>
              <w:t>85%</w:t>
            </w:r>
          </w:p>
        </w:tc>
        <w:tc>
          <w:tcPr>
            <w:tcW w:w="1730" w:type="pct"/>
            <w:tcMar>
              <w:top w:w="29" w:type="dxa"/>
              <w:left w:w="115" w:type="dxa"/>
              <w:bottom w:w="29" w:type="dxa"/>
              <w:right w:w="115" w:type="dxa"/>
            </w:tcMar>
            <w:vAlign w:val="center"/>
          </w:tcPr>
          <w:p w:rsidR="00182EE7" w:rsidRPr="0073580A" w:rsidRDefault="00182EE7" w:rsidP="007948CA">
            <w:pPr>
              <w:spacing w:before="120"/>
              <w:jc w:val="center"/>
              <w:rPr>
                <w:rFonts w:ascii="Arial" w:hAnsi="Arial" w:cs="Arial"/>
                <w:sz w:val="18"/>
                <w:szCs w:val="18"/>
              </w:rPr>
            </w:pPr>
          </w:p>
        </w:tc>
      </w:tr>
      <w:tr w:rsidR="00182EE7" w:rsidRPr="0073580A" w:rsidTr="007948CA">
        <w:trPr>
          <w:trHeight w:val="245"/>
        </w:trPr>
        <w:tc>
          <w:tcPr>
            <w:tcW w:w="3270" w:type="pct"/>
            <w:tcMar>
              <w:top w:w="29" w:type="dxa"/>
              <w:left w:w="115" w:type="dxa"/>
              <w:bottom w:w="29" w:type="dxa"/>
              <w:right w:w="115" w:type="dxa"/>
            </w:tcMar>
            <w:vAlign w:val="center"/>
          </w:tcPr>
          <w:p w:rsidR="00182EE7" w:rsidRPr="0073580A" w:rsidRDefault="00182EE7" w:rsidP="00182EE7">
            <w:pPr>
              <w:spacing w:before="120"/>
              <w:jc w:val="center"/>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rsidR="00182EE7" w:rsidRPr="0073580A" w:rsidRDefault="00182EE7" w:rsidP="007948CA">
            <w:pPr>
              <w:spacing w:before="120"/>
              <w:jc w:val="center"/>
              <w:rPr>
                <w:rFonts w:ascii="Arial" w:hAnsi="Arial" w:cs="Arial"/>
                <w:sz w:val="18"/>
                <w:szCs w:val="18"/>
              </w:rPr>
            </w:pPr>
            <w:r>
              <w:rPr>
                <w:rFonts w:ascii="Arial" w:hAnsi="Arial" w:cs="Arial"/>
                <w:sz w:val="18"/>
                <w:szCs w:val="18"/>
              </w:rPr>
              <w:t>35%</w:t>
            </w:r>
          </w:p>
        </w:tc>
      </w:tr>
      <w:tr w:rsidR="00182EE7" w:rsidRPr="0073580A" w:rsidTr="007948CA">
        <w:trPr>
          <w:trHeight w:val="245"/>
        </w:trPr>
        <w:tc>
          <w:tcPr>
            <w:tcW w:w="3270" w:type="pct"/>
            <w:tcMar>
              <w:top w:w="29" w:type="dxa"/>
              <w:left w:w="115" w:type="dxa"/>
              <w:bottom w:w="29" w:type="dxa"/>
              <w:right w:w="115" w:type="dxa"/>
            </w:tcMar>
            <w:vAlign w:val="center"/>
          </w:tcPr>
          <w:p w:rsidR="00182EE7" w:rsidRPr="0073580A" w:rsidRDefault="00182EE7" w:rsidP="00182EE7">
            <w:pPr>
              <w:spacing w:before="120"/>
              <w:jc w:val="center"/>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rsidR="00182EE7" w:rsidRPr="0073580A" w:rsidRDefault="00182EE7" w:rsidP="007948CA">
            <w:pPr>
              <w:spacing w:before="120"/>
              <w:jc w:val="center"/>
              <w:rPr>
                <w:rFonts w:ascii="Arial" w:hAnsi="Arial" w:cs="Arial"/>
                <w:sz w:val="18"/>
                <w:szCs w:val="18"/>
              </w:rPr>
            </w:pPr>
            <w:r>
              <w:rPr>
                <w:rFonts w:ascii="Arial" w:hAnsi="Arial" w:cs="Arial"/>
                <w:sz w:val="18"/>
                <w:szCs w:val="18"/>
              </w:rPr>
              <w:t>50%</w:t>
            </w:r>
          </w:p>
        </w:tc>
      </w:tr>
      <w:tr w:rsidR="00182EE7" w:rsidRPr="0073580A" w:rsidTr="007948CA">
        <w:trPr>
          <w:trHeight w:val="245"/>
        </w:trPr>
        <w:tc>
          <w:tcPr>
            <w:tcW w:w="3270" w:type="pct"/>
            <w:tcMar>
              <w:top w:w="29" w:type="dxa"/>
              <w:left w:w="115" w:type="dxa"/>
              <w:bottom w:w="29" w:type="dxa"/>
              <w:right w:w="115" w:type="dxa"/>
            </w:tcMar>
            <w:vAlign w:val="center"/>
          </w:tcPr>
          <w:p w:rsidR="00182EE7" w:rsidRPr="0073580A" w:rsidRDefault="00182EE7" w:rsidP="007948CA">
            <w:pPr>
              <w:spacing w:before="12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rsidR="00182EE7" w:rsidRPr="0073580A" w:rsidRDefault="00182EE7" w:rsidP="007948CA">
            <w:pPr>
              <w:spacing w:before="120"/>
              <w:jc w:val="center"/>
              <w:rPr>
                <w:rFonts w:ascii="Arial" w:hAnsi="Arial" w:cs="Arial"/>
                <w:b/>
                <w:bCs/>
                <w:sz w:val="18"/>
                <w:szCs w:val="18"/>
              </w:rPr>
            </w:pPr>
            <w:r w:rsidRPr="0073580A">
              <w:rPr>
                <w:rFonts w:ascii="Arial" w:hAnsi="Arial" w:cs="Arial"/>
                <w:b/>
                <w:bCs/>
                <w:sz w:val="18"/>
                <w:szCs w:val="18"/>
              </w:rPr>
              <w:t>100</w:t>
            </w:r>
          </w:p>
        </w:tc>
      </w:tr>
    </w:tbl>
    <w:p w:rsidR="00182EE7" w:rsidRPr="0073580A" w:rsidRDefault="00182EE7" w:rsidP="00182EE7">
      <w:pPr>
        <w:rPr>
          <w:rFonts w:ascii="Arial" w:hAnsi="Arial" w:cs="Arial"/>
          <w:b/>
          <w:sz w:val="18"/>
          <w:szCs w:val="18"/>
        </w:rPr>
      </w:pPr>
    </w:p>
    <w:p w:rsidR="00182EE7" w:rsidRPr="0073580A" w:rsidRDefault="00182EE7" w:rsidP="00182EE7">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Pr="0073580A">
        <w:rPr>
          <w:rFonts w:ascii="Arial" w:hAnsi="Arial" w:cs="Arial"/>
          <w:b/>
          <w:sz w:val="18"/>
          <w:szCs w:val="18"/>
        </w:rPr>
        <w:t>GRADING CRITERIA OF EACH ASSIGNMENT</w:t>
      </w:r>
    </w:p>
    <w:p w:rsidR="00182EE7" w:rsidRPr="0073580A" w:rsidRDefault="00182EE7" w:rsidP="00182EE7">
      <w:pPr>
        <w:autoSpaceDE w:val="0"/>
        <w:autoSpaceDN w:val="0"/>
        <w:adjustRightInd w:val="0"/>
        <w:jc w:val="both"/>
        <w:rPr>
          <w:rFonts w:ascii="Arial" w:hAnsi="Arial" w:cs="Arial"/>
          <w:i/>
          <w:sz w:val="18"/>
          <w:szCs w:val="18"/>
        </w:rPr>
      </w:pPr>
      <w:r w:rsidRPr="0073580A">
        <w:rPr>
          <w:rFonts w:ascii="Arial" w:hAnsi="Arial" w:cs="Arial"/>
          <w:i/>
          <w:sz w:val="18"/>
          <w:szCs w:val="18"/>
        </w:rPr>
        <w:t>(Provide short descriptions and grading criteria of each assignment)</w:t>
      </w:r>
    </w:p>
    <w:p w:rsidR="00F52239" w:rsidRPr="00E268CD" w:rsidRDefault="00F52239" w:rsidP="00F52239">
      <w:pPr>
        <w:jc w:val="both"/>
        <w:rPr>
          <w:rFonts w:ascii="Arial" w:hAnsi="Arial" w:cs="Arial"/>
          <w:b/>
          <w:sz w:val="18"/>
          <w:szCs w:val="18"/>
        </w:rPr>
      </w:pPr>
    </w:p>
    <w:p w:rsidR="009C0B46" w:rsidRPr="009C0B46" w:rsidRDefault="009C0B46" w:rsidP="009C0B46">
      <w:pPr>
        <w:jc w:val="both"/>
        <w:rPr>
          <w:rFonts w:ascii="Arial" w:hAnsi="Arial" w:cs="Arial"/>
          <w:b/>
          <w:bCs/>
          <w:sz w:val="18"/>
          <w:szCs w:val="18"/>
        </w:rPr>
      </w:pPr>
    </w:p>
    <w:p w:rsidR="00182EE7" w:rsidRPr="00182EE7" w:rsidRDefault="00182EE7" w:rsidP="00182EE7">
      <w:pPr>
        <w:numPr>
          <w:ilvl w:val="0"/>
          <w:numId w:val="6"/>
        </w:numPr>
        <w:jc w:val="both"/>
        <w:rPr>
          <w:rFonts w:ascii="Arial" w:hAnsi="Arial" w:cs="Arial"/>
          <w:sz w:val="18"/>
          <w:szCs w:val="18"/>
          <w:lang w:val="en-US"/>
        </w:rPr>
      </w:pPr>
      <w:r>
        <w:rPr>
          <w:rFonts w:ascii="Arial" w:hAnsi="Arial" w:cs="Arial"/>
          <w:sz w:val="18"/>
          <w:szCs w:val="18"/>
          <w:lang w:val="en-US"/>
        </w:rPr>
        <w:t xml:space="preserve">Group </w:t>
      </w:r>
      <w:r>
        <w:rPr>
          <w:rFonts w:ascii="Arial" w:hAnsi="Arial" w:cs="Arial"/>
          <w:iCs/>
          <w:sz w:val="18"/>
          <w:szCs w:val="18"/>
        </w:rPr>
        <w:t>Homework Presentation</w:t>
      </w:r>
      <w:r>
        <w:rPr>
          <w:rFonts w:ascii="Arial" w:hAnsi="Arial" w:cs="Arial"/>
          <w:sz w:val="18"/>
          <w:szCs w:val="18"/>
          <w:lang w:val="en-US"/>
        </w:rPr>
        <w:t xml:space="preserve"> (15%) will require that students solve a homework problem and present it to the class during seminar. At the beginning of the seminar, the group will provide the written solution to the lecturer. </w:t>
      </w:r>
      <w:r w:rsidRPr="009C0B46">
        <w:rPr>
          <w:rFonts w:ascii="Arial" w:hAnsi="Arial" w:cs="Arial"/>
          <w:sz w:val="18"/>
          <w:szCs w:val="18"/>
        </w:rPr>
        <w:t xml:space="preserve"> </w:t>
      </w:r>
    </w:p>
    <w:p w:rsidR="00182EE7" w:rsidRPr="009C0B46" w:rsidRDefault="00182EE7" w:rsidP="00182EE7">
      <w:pPr>
        <w:numPr>
          <w:ilvl w:val="0"/>
          <w:numId w:val="6"/>
        </w:numPr>
        <w:jc w:val="both"/>
        <w:rPr>
          <w:rFonts w:ascii="Arial" w:hAnsi="Arial" w:cs="Arial"/>
          <w:sz w:val="18"/>
          <w:szCs w:val="18"/>
          <w:lang w:val="en-US"/>
        </w:rPr>
      </w:pPr>
      <w:r w:rsidRPr="009C0B46">
        <w:rPr>
          <w:rFonts w:ascii="Arial" w:hAnsi="Arial" w:cs="Arial"/>
          <w:sz w:val="18"/>
          <w:szCs w:val="18"/>
          <w:lang w:val="en-US"/>
        </w:rPr>
        <w:t xml:space="preserve">The </w:t>
      </w:r>
      <w:r w:rsidRPr="009C0B46">
        <w:rPr>
          <w:rFonts w:ascii="Arial" w:hAnsi="Arial" w:cs="Arial"/>
          <w:bCs/>
          <w:sz w:val="18"/>
          <w:szCs w:val="18"/>
          <w:lang w:val="en-US"/>
        </w:rPr>
        <w:t>mid-term test (</w:t>
      </w:r>
      <w:r>
        <w:rPr>
          <w:rFonts w:ascii="Arial" w:hAnsi="Arial" w:cs="Arial"/>
          <w:bCs/>
          <w:sz w:val="18"/>
          <w:szCs w:val="18"/>
          <w:lang w:val="en-US"/>
        </w:rPr>
        <w:t>35</w:t>
      </w:r>
      <w:r w:rsidRPr="009C0B46">
        <w:rPr>
          <w:rFonts w:ascii="Arial" w:hAnsi="Arial" w:cs="Arial"/>
          <w:bCs/>
          <w:sz w:val="18"/>
          <w:szCs w:val="18"/>
          <w:lang w:val="en-US"/>
        </w:rPr>
        <w:t xml:space="preserve">%) </w:t>
      </w:r>
      <w:r w:rsidRPr="009C0B46">
        <w:rPr>
          <w:rFonts w:ascii="Arial" w:hAnsi="Arial" w:cs="Arial"/>
          <w:sz w:val="18"/>
          <w:szCs w:val="18"/>
          <w:lang w:val="en-US"/>
        </w:rPr>
        <w:t>will cover the content of Lecture 1-5. it will consist of multiple</w:t>
      </w:r>
      <w:r>
        <w:rPr>
          <w:rFonts w:ascii="Arial" w:hAnsi="Arial" w:cs="Arial"/>
          <w:sz w:val="18"/>
          <w:szCs w:val="18"/>
          <w:lang w:val="en-US"/>
        </w:rPr>
        <w:t>-</w:t>
      </w:r>
      <w:r w:rsidRPr="009C0B46">
        <w:rPr>
          <w:rFonts w:ascii="Arial" w:hAnsi="Arial" w:cs="Arial"/>
          <w:sz w:val="18"/>
          <w:szCs w:val="18"/>
          <w:lang w:val="en-US"/>
        </w:rPr>
        <w:t>choice questions and short-answer open questions.</w:t>
      </w:r>
    </w:p>
    <w:p w:rsidR="007C75DC" w:rsidRPr="009C0B46" w:rsidRDefault="005A702B" w:rsidP="00182EE7">
      <w:pPr>
        <w:numPr>
          <w:ilvl w:val="0"/>
          <w:numId w:val="6"/>
        </w:numPr>
        <w:jc w:val="both"/>
        <w:rPr>
          <w:rFonts w:ascii="Arial" w:hAnsi="Arial" w:cs="Arial"/>
          <w:sz w:val="18"/>
          <w:szCs w:val="18"/>
          <w:lang w:val="en-US"/>
        </w:rPr>
      </w:pPr>
      <w:r w:rsidRPr="009C0B46">
        <w:rPr>
          <w:rFonts w:ascii="Arial" w:hAnsi="Arial" w:cs="Arial"/>
          <w:sz w:val="18"/>
          <w:szCs w:val="18"/>
          <w:lang w:val="en-US"/>
        </w:rPr>
        <w:t xml:space="preserve"> </w:t>
      </w:r>
      <w:r w:rsidR="007C75DC" w:rsidRPr="009C0B46">
        <w:rPr>
          <w:rFonts w:ascii="Arial" w:hAnsi="Arial" w:cs="Arial"/>
          <w:sz w:val="18"/>
          <w:szCs w:val="18"/>
          <w:lang w:val="en-US"/>
        </w:rPr>
        <w:t xml:space="preserve">The </w:t>
      </w:r>
      <w:r w:rsidR="007C75DC" w:rsidRPr="009C0B46">
        <w:rPr>
          <w:rFonts w:ascii="Arial" w:hAnsi="Arial" w:cs="Arial"/>
          <w:bCs/>
          <w:sz w:val="18"/>
          <w:szCs w:val="18"/>
          <w:lang w:val="en-US"/>
        </w:rPr>
        <w:t xml:space="preserve">final exam </w:t>
      </w:r>
      <w:r w:rsidR="007C75DC" w:rsidRPr="009C0B46">
        <w:rPr>
          <w:rFonts w:ascii="Arial" w:hAnsi="Arial" w:cs="Arial"/>
          <w:sz w:val="18"/>
          <w:szCs w:val="18"/>
          <w:lang w:val="en-US"/>
        </w:rPr>
        <w:t xml:space="preserve">will account for </w:t>
      </w:r>
      <w:r w:rsidR="00CD4A77">
        <w:rPr>
          <w:rFonts w:ascii="Arial" w:hAnsi="Arial" w:cs="Arial"/>
          <w:bCs/>
          <w:sz w:val="18"/>
          <w:szCs w:val="18"/>
          <w:lang w:val="en-US"/>
        </w:rPr>
        <w:t>50</w:t>
      </w:r>
      <w:r w:rsidR="007C75DC" w:rsidRPr="009C0B46">
        <w:rPr>
          <w:rFonts w:ascii="Arial" w:hAnsi="Arial" w:cs="Arial"/>
          <w:bCs/>
          <w:sz w:val="18"/>
          <w:szCs w:val="18"/>
          <w:lang w:val="en-US"/>
        </w:rPr>
        <w:t xml:space="preserve">% </w:t>
      </w:r>
      <w:r w:rsidR="007C75DC" w:rsidRPr="009C0B46">
        <w:rPr>
          <w:rFonts w:ascii="Arial" w:hAnsi="Arial" w:cs="Arial"/>
          <w:sz w:val="18"/>
          <w:szCs w:val="18"/>
          <w:lang w:val="en-US"/>
        </w:rPr>
        <w:t xml:space="preserve">of the final grade: It will consist of </w:t>
      </w:r>
      <w:r w:rsidR="00182EE7" w:rsidRPr="009C0B46">
        <w:rPr>
          <w:rFonts w:ascii="Arial" w:hAnsi="Arial" w:cs="Arial"/>
          <w:sz w:val="18"/>
          <w:szCs w:val="18"/>
          <w:lang w:val="en-US"/>
        </w:rPr>
        <w:t>multiple</w:t>
      </w:r>
      <w:r w:rsidR="00182EE7">
        <w:rPr>
          <w:rFonts w:ascii="Arial" w:hAnsi="Arial" w:cs="Arial"/>
          <w:sz w:val="18"/>
          <w:szCs w:val="18"/>
          <w:lang w:val="en-US"/>
        </w:rPr>
        <w:t>-choice</w:t>
      </w:r>
      <w:r w:rsidR="007C75DC" w:rsidRPr="009C0B46">
        <w:rPr>
          <w:rFonts w:ascii="Arial" w:hAnsi="Arial" w:cs="Arial"/>
          <w:sz w:val="18"/>
          <w:szCs w:val="18"/>
          <w:lang w:val="en-US"/>
        </w:rPr>
        <w:t xml:space="preserve"> questions and short-answer open questions. The final exam will cover all topics presented </w:t>
      </w:r>
      <w:r w:rsidR="00E0191B">
        <w:rPr>
          <w:rFonts w:ascii="Arial" w:hAnsi="Arial" w:cs="Arial"/>
          <w:sz w:val="18"/>
          <w:szCs w:val="18"/>
          <w:lang w:val="en-US"/>
        </w:rPr>
        <w:t>in Lectures 6-12.</w:t>
      </w:r>
    </w:p>
    <w:p w:rsidR="007C75DC" w:rsidRPr="009C0B46" w:rsidRDefault="007C75DC" w:rsidP="009C0B46">
      <w:pPr>
        <w:jc w:val="both"/>
        <w:rPr>
          <w:rFonts w:ascii="Arial" w:hAnsi="Arial" w:cs="Arial"/>
          <w:sz w:val="18"/>
          <w:szCs w:val="18"/>
          <w:lang w:val="en-US"/>
        </w:rPr>
      </w:pPr>
    </w:p>
    <w:p w:rsidR="007C75DC" w:rsidRPr="009C0B46" w:rsidRDefault="007C75DC" w:rsidP="009C0B46">
      <w:pPr>
        <w:jc w:val="both"/>
        <w:rPr>
          <w:rFonts w:ascii="Arial" w:hAnsi="Arial" w:cs="Arial"/>
          <w:b/>
          <w:sz w:val="18"/>
          <w:szCs w:val="18"/>
          <w:lang w:val="en-US"/>
        </w:rPr>
      </w:pPr>
    </w:p>
    <w:p w:rsidR="007B3D8B" w:rsidRPr="009C0B46" w:rsidRDefault="007B3D8B" w:rsidP="009C0B46">
      <w:pPr>
        <w:jc w:val="both"/>
        <w:rPr>
          <w:rFonts w:ascii="Arial" w:hAnsi="Arial" w:cs="Arial"/>
          <w:b/>
          <w:sz w:val="18"/>
          <w:szCs w:val="18"/>
          <w:lang w:val="en-US"/>
        </w:rPr>
      </w:pPr>
    </w:p>
    <w:p w:rsidR="00EB6CC4" w:rsidRPr="0073580A" w:rsidRDefault="00EB6CC4" w:rsidP="00EB6CC4">
      <w:pPr>
        <w:pStyle w:val="metod"/>
        <w:ind w:firstLine="0"/>
        <w:jc w:val="both"/>
        <w:rPr>
          <w:rFonts w:ascii="Arial" w:hAnsi="Arial" w:cs="Arial"/>
          <w:b/>
          <w:sz w:val="18"/>
          <w:szCs w:val="18"/>
          <w:lang w:val="en-US"/>
        </w:rPr>
      </w:pPr>
      <w:r w:rsidRPr="0073580A">
        <w:rPr>
          <w:rFonts w:ascii="Arial" w:hAnsi="Arial" w:cs="Arial"/>
          <w:b/>
          <w:sz w:val="18"/>
          <w:szCs w:val="18"/>
          <w:lang w:val="en-US"/>
        </w:rPr>
        <w:t>REQUIRED READINGS</w:t>
      </w:r>
    </w:p>
    <w:p w:rsidR="00102F4F" w:rsidRPr="009C0B46" w:rsidRDefault="00102F4F" w:rsidP="009C0B46">
      <w:pPr>
        <w:pStyle w:val="metod"/>
        <w:ind w:firstLine="0"/>
        <w:jc w:val="both"/>
        <w:rPr>
          <w:rFonts w:ascii="Arial" w:hAnsi="Arial" w:cs="Arial"/>
          <w:sz w:val="18"/>
          <w:szCs w:val="18"/>
          <w:lang w:val="en-US"/>
        </w:rPr>
      </w:pPr>
    </w:p>
    <w:p w:rsidR="00102F4F" w:rsidRPr="009C0B46" w:rsidRDefault="00102F4F" w:rsidP="009C0B46">
      <w:pPr>
        <w:pStyle w:val="metod"/>
        <w:numPr>
          <w:ilvl w:val="0"/>
          <w:numId w:val="4"/>
        </w:numPr>
        <w:jc w:val="both"/>
        <w:rPr>
          <w:rFonts w:ascii="Arial" w:hAnsi="Arial" w:cs="Arial"/>
          <w:b/>
          <w:bCs/>
          <w:sz w:val="18"/>
          <w:szCs w:val="18"/>
          <w:lang w:val="en-US"/>
        </w:rPr>
      </w:pPr>
      <w:proofErr w:type="spellStart"/>
      <w:r w:rsidRPr="009C0B46">
        <w:rPr>
          <w:rFonts w:ascii="Arial" w:hAnsi="Arial" w:cs="Arial"/>
          <w:bCs/>
          <w:sz w:val="18"/>
          <w:szCs w:val="18"/>
          <w:lang w:val="en-US"/>
        </w:rPr>
        <w:t>Pindyck</w:t>
      </w:r>
      <w:proofErr w:type="spellEnd"/>
      <w:r w:rsidRPr="009C0B46">
        <w:rPr>
          <w:rFonts w:ascii="Arial" w:hAnsi="Arial" w:cs="Arial"/>
          <w:bCs/>
          <w:sz w:val="18"/>
          <w:szCs w:val="18"/>
          <w:lang w:val="en-US"/>
        </w:rPr>
        <w:t xml:space="preserve">, Robert S., and Daniel L. </w:t>
      </w:r>
      <w:proofErr w:type="spellStart"/>
      <w:r w:rsidRPr="009C0B46">
        <w:rPr>
          <w:rFonts w:ascii="Arial" w:hAnsi="Arial" w:cs="Arial"/>
          <w:bCs/>
          <w:sz w:val="18"/>
          <w:szCs w:val="18"/>
          <w:lang w:val="en-US"/>
        </w:rPr>
        <w:t>Rubinfeld</w:t>
      </w:r>
      <w:proofErr w:type="spellEnd"/>
      <w:r w:rsidRPr="009C0B46">
        <w:rPr>
          <w:rFonts w:ascii="Arial" w:hAnsi="Arial" w:cs="Arial"/>
          <w:bCs/>
          <w:sz w:val="18"/>
          <w:szCs w:val="18"/>
          <w:lang w:val="en-US"/>
        </w:rPr>
        <w:t>. Microeconomics. 7th ed. Upper Saddle River, NJ: Pearson Prentice Hall, 2004.</w:t>
      </w:r>
    </w:p>
    <w:p w:rsidR="00102F4F" w:rsidRPr="009C0B46" w:rsidRDefault="00102F4F" w:rsidP="009C0B46">
      <w:pPr>
        <w:pStyle w:val="Head"/>
        <w:tabs>
          <w:tab w:val="left" w:pos="2880"/>
        </w:tabs>
        <w:spacing w:before="0" w:after="0"/>
        <w:ind w:left="720" w:hanging="360"/>
        <w:rPr>
          <w:rFonts w:ascii="Arial" w:hAnsi="Arial" w:cs="Arial"/>
          <w:b w:val="0"/>
          <w:sz w:val="18"/>
          <w:szCs w:val="18"/>
        </w:rPr>
      </w:pPr>
    </w:p>
    <w:p w:rsidR="00102F4F" w:rsidRPr="009C0B46" w:rsidRDefault="00102F4F" w:rsidP="009C0B46">
      <w:pPr>
        <w:pStyle w:val="Head"/>
        <w:tabs>
          <w:tab w:val="left" w:pos="2880"/>
        </w:tabs>
        <w:spacing w:before="0" w:after="0"/>
        <w:ind w:left="720" w:hanging="360"/>
        <w:rPr>
          <w:rFonts w:ascii="Arial" w:hAnsi="Arial" w:cs="Arial"/>
          <w:b w:val="0"/>
          <w:sz w:val="18"/>
          <w:szCs w:val="18"/>
        </w:rPr>
      </w:pPr>
      <w:r w:rsidRPr="009C0B46">
        <w:rPr>
          <w:rFonts w:ascii="Arial" w:hAnsi="Arial" w:cs="Arial"/>
          <w:b w:val="0"/>
          <w:sz w:val="18"/>
          <w:szCs w:val="18"/>
        </w:rPr>
        <w:t xml:space="preserve">   </w:t>
      </w:r>
    </w:p>
    <w:p w:rsidR="00102F4F" w:rsidRPr="009C0B46" w:rsidRDefault="00102F4F" w:rsidP="009C0B46">
      <w:pPr>
        <w:keepNext/>
        <w:suppressAutoHyphens w:val="0"/>
        <w:ind w:left="720"/>
        <w:outlineLvl w:val="2"/>
        <w:rPr>
          <w:rFonts w:ascii="Arial" w:hAnsi="Arial" w:cs="Arial"/>
          <w:b/>
          <w:bCs/>
          <w:sz w:val="18"/>
          <w:szCs w:val="18"/>
          <w:lang w:val="en-US" w:eastAsia="lt-LT"/>
        </w:rPr>
      </w:pPr>
    </w:p>
    <w:p w:rsidR="00102F4F" w:rsidRDefault="00102F4F" w:rsidP="009C0B46">
      <w:pPr>
        <w:keepNext/>
        <w:suppressAutoHyphens w:val="0"/>
        <w:ind w:left="720"/>
        <w:outlineLvl w:val="2"/>
        <w:rPr>
          <w:rFonts w:ascii="Arial" w:hAnsi="Arial" w:cs="Arial"/>
          <w:b/>
          <w:bCs/>
          <w:sz w:val="18"/>
          <w:szCs w:val="18"/>
          <w:lang w:val="en-US" w:eastAsia="lt-LT"/>
        </w:rPr>
      </w:pPr>
    </w:p>
    <w:p w:rsidR="00EB6CC4" w:rsidRDefault="00EB6CC4"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877770" w:rsidRDefault="00877770" w:rsidP="009C0B46">
      <w:pPr>
        <w:keepNext/>
        <w:suppressAutoHyphens w:val="0"/>
        <w:ind w:left="720"/>
        <w:outlineLvl w:val="2"/>
        <w:rPr>
          <w:rFonts w:ascii="Arial" w:hAnsi="Arial" w:cs="Arial"/>
          <w:b/>
          <w:bCs/>
          <w:sz w:val="18"/>
          <w:szCs w:val="18"/>
          <w:lang w:val="en-US" w:eastAsia="lt-LT"/>
        </w:rPr>
      </w:pPr>
    </w:p>
    <w:p w:rsidR="00EB6CC4" w:rsidRPr="009C0B46" w:rsidRDefault="00EB6CC4" w:rsidP="009C0B46">
      <w:pPr>
        <w:keepNext/>
        <w:suppressAutoHyphens w:val="0"/>
        <w:ind w:left="720"/>
        <w:outlineLvl w:val="2"/>
        <w:rPr>
          <w:rFonts w:ascii="Arial" w:hAnsi="Arial" w:cs="Arial"/>
          <w:b/>
          <w:bCs/>
          <w:sz w:val="18"/>
          <w:szCs w:val="18"/>
          <w:lang w:val="en-US" w:eastAsia="lt-LT"/>
        </w:rPr>
      </w:pPr>
    </w:p>
    <w:p w:rsidR="00102F4F" w:rsidRPr="009C0B46" w:rsidRDefault="00102F4F" w:rsidP="009C0B46">
      <w:pPr>
        <w:suppressAutoHyphens w:val="0"/>
        <w:rPr>
          <w:rFonts w:ascii="Arial" w:eastAsia="Calibri" w:hAnsi="Arial" w:cs="Arial"/>
          <w:sz w:val="18"/>
          <w:szCs w:val="18"/>
          <w:lang w:val="en-US" w:eastAsia="en-US"/>
        </w:rPr>
      </w:pPr>
    </w:p>
    <w:p w:rsidR="00C50322" w:rsidRDefault="00C50322" w:rsidP="00C50322">
      <w:pPr>
        <w:pStyle w:val="metod"/>
        <w:ind w:firstLine="0"/>
        <w:jc w:val="right"/>
        <w:rPr>
          <w:rFonts w:ascii="Arial" w:hAnsi="Arial" w:cs="Arial"/>
          <w:b/>
          <w:sz w:val="18"/>
          <w:szCs w:val="18"/>
          <w:lang w:val="en-US"/>
        </w:rPr>
      </w:pPr>
      <w:r>
        <w:rPr>
          <w:rFonts w:ascii="Arial" w:hAnsi="Arial" w:cs="Arial"/>
          <w:b/>
          <w:sz w:val="18"/>
          <w:szCs w:val="18"/>
          <w:lang w:val="en-US"/>
        </w:rPr>
        <w:lastRenderedPageBreak/>
        <w:t>ANNEX</w:t>
      </w:r>
    </w:p>
    <w:p w:rsidR="00C50322" w:rsidRDefault="00C50322" w:rsidP="00C50322">
      <w:pPr>
        <w:pStyle w:val="metod"/>
        <w:ind w:firstLine="0"/>
        <w:jc w:val="both"/>
        <w:rPr>
          <w:rFonts w:ascii="Arial" w:hAnsi="Arial" w:cs="Arial"/>
          <w:b/>
          <w:sz w:val="18"/>
          <w:szCs w:val="18"/>
          <w:lang w:val="en-US"/>
        </w:rPr>
      </w:pPr>
    </w:p>
    <w:p w:rsidR="00C50322" w:rsidRPr="00114104" w:rsidRDefault="00C50322" w:rsidP="00C50322">
      <w:pPr>
        <w:pStyle w:val="metod"/>
        <w:ind w:firstLine="0"/>
        <w:jc w:val="center"/>
        <w:rPr>
          <w:rFonts w:ascii="Arial" w:hAnsi="Arial" w:cs="Arial"/>
          <w:b/>
          <w:sz w:val="20"/>
          <w:lang w:val="en-US"/>
        </w:rPr>
      </w:pPr>
      <w:r w:rsidRPr="00114104">
        <w:rPr>
          <w:rFonts w:ascii="Arial" w:hAnsi="Arial" w:cs="Arial"/>
          <w:b/>
          <w:sz w:val="20"/>
          <w:lang w:val="en-US"/>
        </w:rPr>
        <w:t>DEGREE LEVEL LEARNING OBJECTIVES</w:t>
      </w:r>
    </w:p>
    <w:p w:rsidR="00C50322" w:rsidRDefault="00C50322" w:rsidP="00C50322">
      <w:pPr>
        <w:pStyle w:val="metod"/>
        <w:ind w:firstLine="0"/>
        <w:jc w:val="both"/>
        <w:rPr>
          <w:rFonts w:ascii="Arial" w:hAnsi="Arial" w:cs="Arial"/>
          <w:b/>
          <w:sz w:val="18"/>
          <w:szCs w:val="18"/>
          <w:lang w:val="en-US"/>
        </w:rPr>
      </w:pPr>
    </w:p>
    <w:p w:rsidR="00C50322" w:rsidRDefault="00C50322" w:rsidP="00C50322">
      <w:pPr>
        <w:pStyle w:val="metod"/>
        <w:ind w:firstLine="0"/>
        <w:jc w:val="both"/>
        <w:rPr>
          <w:rFonts w:ascii="Arial" w:hAnsi="Arial" w:cs="Arial"/>
          <w:b/>
          <w:sz w:val="18"/>
          <w:szCs w:val="18"/>
          <w:lang w:val="en-US"/>
        </w:rPr>
      </w:pPr>
    </w:p>
    <w:p w:rsidR="00C50322" w:rsidRDefault="00C50322" w:rsidP="00C50322">
      <w:pPr>
        <w:pStyle w:val="metod"/>
        <w:ind w:firstLine="0"/>
        <w:jc w:val="both"/>
        <w:rPr>
          <w:rFonts w:ascii="Arial" w:hAnsi="Arial" w:cs="Arial"/>
          <w:b/>
          <w:sz w:val="18"/>
          <w:szCs w:val="18"/>
          <w:lang w:val="en-US"/>
        </w:rPr>
      </w:pPr>
    </w:p>
    <w:p w:rsidR="00C50322" w:rsidRPr="001B338B" w:rsidRDefault="00C50322" w:rsidP="00C50322">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rsidR="00C50322" w:rsidRPr="001B338B" w:rsidRDefault="00C50322" w:rsidP="00C50322">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rsidR="00C50322" w:rsidRPr="001B338B"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rsidR="00C50322"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Business Management and Marketing, </w:t>
      </w:r>
    </w:p>
    <w:p w:rsidR="00C50322" w:rsidRPr="001B338B"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rsidR="00C50322"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Industrial Technology Management</w:t>
      </w:r>
      <w:r>
        <w:rPr>
          <w:rFonts w:ascii="Arial" w:hAnsi="Arial" w:cs="Arial"/>
          <w:i/>
          <w:sz w:val="16"/>
          <w:szCs w:val="18"/>
          <w:lang w:val="en-US"/>
        </w:rPr>
        <w:t>,</w:t>
      </w:r>
    </w:p>
    <w:p w:rsidR="00C50322" w:rsidRPr="001B338B" w:rsidRDefault="00C50322" w:rsidP="00C50322">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rsidR="00C50322" w:rsidRPr="00194A85" w:rsidRDefault="00C50322" w:rsidP="00C50322">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359"/>
        <w:gridCol w:w="7268"/>
      </w:tblGrid>
      <w:tr w:rsidR="00C50322" w:rsidTr="007948CA">
        <w:tc>
          <w:tcPr>
            <w:tcW w:w="2405" w:type="dxa"/>
          </w:tcPr>
          <w:p w:rsidR="00C50322" w:rsidRDefault="00C50322" w:rsidP="007948CA">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rsidR="00C50322" w:rsidRDefault="00C50322" w:rsidP="007948CA">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C50322" w:rsidTr="007948CA">
        <w:tc>
          <w:tcPr>
            <w:tcW w:w="2405" w:type="dxa"/>
            <w:vMerge w:val="restart"/>
          </w:tcPr>
          <w:p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rsidR="00C50322" w:rsidRPr="00FA251A"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B</w:t>
            </w:r>
            <w:r w:rsidRPr="00FA251A">
              <w:rPr>
                <w:rFonts w:ascii="Arial" w:hAnsi="Arial" w:cs="Arial"/>
                <w:sz w:val="18"/>
                <w:szCs w:val="18"/>
                <w:lang w:val="en-US"/>
              </w:rPr>
              <w:t>LO1.1. Students will be able to understand core concepts and methods in the business disciplines</w:t>
            </w:r>
          </w:p>
        </w:tc>
      </w:tr>
      <w:tr w:rsidR="00C50322" w:rsidTr="007948CA">
        <w:tc>
          <w:tcPr>
            <w:tcW w:w="2405" w:type="dxa"/>
            <w:vMerge/>
          </w:tcPr>
          <w:p w:rsidR="00C50322" w:rsidRPr="00194A85" w:rsidRDefault="00C50322" w:rsidP="007948CA">
            <w:pPr>
              <w:pStyle w:val="metod"/>
              <w:ind w:firstLine="0"/>
              <w:rPr>
                <w:rFonts w:ascii="Arial" w:hAnsi="Arial" w:cs="Arial"/>
                <w:sz w:val="18"/>
                <w:szCs w:val="18"/>
                <w:lang w:val="en-US"/>
              </w:rPr>
            </w:pPr>
          </w:p>
        </w:tc>
        <w:tc>
          <w:tcPr>
            <w:tcW w:w="7557" w:type="dxa"/>
          </w:tcPr>
          <w:p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C50322" w:rsidTr="007948CA">
        <w:tc>
          <w:tcPr>
            <w:tcW w:w="2405" w:type="dxa"/>
          </w:tcPr>
          <w:p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 xml:space="preserve">LO2.1. Students will be knowledgeable about ethics and social responsibility </w:t>
            </w:r>
          </w:p>
        </w:tc>
      </w:tr>
      <w:tr w:rsidR="00C50322" w:rsidTr="007948CA">
        <w:tc>
          <w:tcPr>
            <w:tcW w:w="2405" w:type="dxa"/>
            <w:vMerge w:val="restart"/>
          </w:tcPr>
          <w:p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rsidR="00C50322" w:rsidRPr="00FA251A"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B</w:t>
            </w:r>
            <w:r w:rsidRPr="00194A85">
              <w:rPr>
                <w:rFonts w:ascii="Arial" w:hAnsi="Arial" w:cs="Arial"/>
                <w:sz w:val="18"/>
                <w:szCs w:val="18"/>
                <w:lang w:val="en-US"/>
              </w:rPr>
              <w:t>LO3.1. Students will demonstrate proficiency in common business software packages</w:t>
            </w:r>
          </w:p>
        </w:tc>
      </w:tr>
      <w:tr w:rsidR="00C50322" w:rsidTr="007948CA">
        <w:tc>
          <w:tcPr>
            <w:tcW w:w="2405" w:type="dxa"/>
            <w:vMerge/>
          </w:tcPr>
          <w:p w:rsidR="00C50322" w:rsidRPr="00194A85" w:rsidRDefault="00C50322" w:rsidP="007948CA">
            <w:pPr>
              <w:pStyle w:val="metod"/>
              <w:ind w:firstLine="0"/>
              <w:rPr>
                <w:rFonts w:ascii="Arial" w:hAnsi="Arial" w:cs="Arial"/>
                <w:sz w:val="18"/>
                <w:szCs w:val="18"/>
                <w:lang w:val="en-US"/>
              </w:rPr>
            </w:pPr>
          </w:p>
        </w:tc>
        <w:tc>
          <w:tcPr>
            <w:tcW w:w="7557" w:type="dxa"/>
          </w:tcPr>
          <w:p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 xml:space="preserve">LO3.2. Students will be able to make decisions using appropriate IT tools </w:t>
            </w:r>
          </w:p>
        </w:tc>
      </w:tr>
      <w:tr w:rsidR="00C50322" w:rsidTr="007948CA">
        <w:tc>
          <w:tcPr>
            <w:tcW w:w="2405" w:type="dxa"/>
            <w:vMerge w:val="restart"/>
          </w:tcPr>
          <w:p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LO4.1. Students will be able to communicate reasonably in different settings according to target audience tasks and situations</w:t>
            </w:r>
          </w:p>
        </w:tc>
      </w:tr>
      <w:tr w:rsidR="00C50322" w:rsidTr="007948CA">
        <w:tc>
          <w:tcPr>
            <w:tcW w:w="2405" w:type="dxa"/>
            <w:vMerge/>
          </w:tcPr>
          <w:p w:rsidR="00C50322" w:rsidRDefault="00C50322" w:rsidP="007948CA">
            <w:pPr>
              <w:pStyle w:val="metod"/>
              <w:ind w:firstLine="0"/>
              <w:jc w:val="both"/>
              <w:rPr>
                <w:rFonts w:ascii="Arial" w:hAnsi="Arial" w:cs="Arial"/>
                <w:b/>
                <w:sz w:val="18"/>
                <w:szCs w:val="18"/>
                <w:lang w:val="en-US"/>
              </w:rPr>
            </w:pPr>
          </w:p>
        </w:tc>
        <w:tc>
          <w:tcPr>
            <w:tcW w:w="7557" w:type="dxa"/>
          </w:tcPr>
          <w:p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 xml:space="preserve">LO4.2. Students will be able to convey their ideas effectively through an oral presentation </w:t>
            </w:r>
          </w:p>
        </w:tc>
      </w:tr>
      <w:tr w:rsidR="00C50322" w:rsidTr="007948CA">
        <w:tc>
          <w:tcPr>
            <w:tcW w:w="2405" w:type="dxa"/>
            <w:vMerge/>
          </w:tcPr>
          <w:p w:rsidR="00C50322" w:rsidRDefault="00C50322" w:rsidP="007948CA">
            <w:pPr>
              <w:pStyle w:val="metod"/>
              <w:ind w:firstLine="0"/>
              <w:jc w:val="both"/>
              <w:rPr>
                <w:rFonts w:ascii="Arial" w:hAnsi="Arial" w:cs="Arial"/>
                <w:b/>
                <w:sz w:val="18"/>
                <w:szCs w:val="18"/>
                <w:lang w:val="en-US"/>
              </w:rPr>
            </w:pPr>
          </w:p>
        </w:tc>
        <w:tc>
          <w:tcPr>
            <w:tcW w:w="7557" w:type="dxa"/>
          </w:tcPr>
          <w:p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LO4.3. Students will be able to convey their ideas effectively in a written paper</w:t>
            </w:r>
          </w:p>
        </w:tc>
      </w:tr>
    </w:tbl>
    <w:p w:rsidR="00C50322" w:rsidRDefault="00C50322" w:rsidP="00C50322">
      <w:pPr>
        <w:pStyle w:val="metod"/>
        <w:ind w:firstLine="0"/>
        <w:jc w:val="both"/>
        <w:rPr>
          <w:rFonts w:ascii="Arial" w:hAnsi="Arial" w:cs="Arial"/>
          <w:b/>
          <w:sz w:val="18"/>
          <w:szCs w:val="18"/>
          <w:lang w:val="en-US"/>
        </w:rPr>
      </w:pPr>
    </w:p>
    <w:p w:rsidR="00C50322" w:rsidRPr="001B338B" w:rsidRDefault="00C50322" w:rsidP="00C50322">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rsidR="00C50322" w:rsidRPr="001B338B" w:rsidRDefault="00C50322" w:rsidP="00C50322">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rsidR="00C50322" w:rsidRPr="001B338B"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rsidR="00C50322" w:rsidRPr="001B338B"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rsidR="00C50322" w:rsidRDefault="00C50322" w:rsidP="00C50322">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358"/>
        <w:gridCol w:w="7269"/>
      </w:tblGrid>
      <w:tr w:rsidR="00C50322" w:rsidTr="007948CA">
        <w:tc>
          <w:tcPr>
            <w:tcW w:w="2405" w:type="dxa"/>
          </w:tcPr>
          <w:p w:rsidR="00C50322" w:rsidRDefault="00C50322" w:rsidP="007948CA">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rsidR="00C50322" w:rsidRDefault="00C50322" w:rsidP="007948CA">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C50322" w:rsidRPr="00FA251A" w:rsidTr="007948CA">
        <w:tc>
          <w:tcPr>
            <w:tcW w:w="2405" w:type="dxa"/>
            <w:vMerge w:val="restart"/>
          </w:tcPr>
          <w:p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rsidR="00C50322" w:rsidRPr="00FA251A"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LO1.1. Students will be able to understand core concepts and methods in the key economics disciplines </w:t>
            </w:r>
          </w:p>
        </w:tc>
      </w:tr>
      <w:tr w:rsidR="00C50322" w:rsidTr="007948CA">
        <w:tc>
          <w:tcPr>
            <w:tcW w:w="2405" w:type="dxa"/>
            <w:vMerge/>
          </w:tcPr>
          <w:p w:rsidR="00C50322" w:rsidRPr="00194A85" w:rsidRDefault="00C50322" w:rsidP="007948CA">
            <w:pPr>
              <w:pStyle w:val="metod"/>
              <w:ind w:firstLine="0"/>
              <w:rPr>
                <w:rFonts w:ascii="Arial" w:hAnsi="Arial" w:cs="Arial"/>
                <w:sz w:val="18"/>
                <w:szCs w:val="18"/>
                <w:lang w:val="en-US"/>
              </w:rPr>
            </w:pPr>
          </w:p>
        </w:tc>
        <w:tc>
          <w:tcPr>
            <w:tcW w:w="7557" w:type="dxa"/>
          </w:tcPr>
          <w:p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LO1.2. Students will be able to identify underlying assumptions and logical consistency of causal statements </w:t>
            </w:r>
          </w:p>
        </w:tc>
      </w:tr>
      <w:tr w:rsidR="00C50322" w:rsidTr="007948CA">
        <w:tc>
          <w:tcPr>
            <w:tcW w:w="2405" w:type="dxa"/>
          </w:tcPr>
          <w:p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LO2.</w:t>
            </w:r>
            <w:proofErr w:type="gramStart"/>
            <w:r w:rsidRPr="00194A85">
              <w:rPr>
                <w:rFonts w:ascii="Arial" w:hAnsi="Arial" w:cs="Arial"/>
                <w:sz w:val="18"/>
                <w:szCs w:val="18"/>
                <w:lang w:val="en-US"/>
              </w:rPr>
              <w:t>1.Students</w:t>
            </w:r>
            <w:proofErr w:type="gramEnd"/>
            <w:r w:rsidRPr="00194A85">
              <w:rPr>
                <w:rFonts w:ascii="Arial" w:hAnsi="Arial" w:cs="Arial"/>
                <w:sz w:val="18"/>
                <w:szCs w:val="18"/>
                <w:lang w:val="en-US"/>
              </w:rPr>
              <w:t xml:space="preserve"> will have a keen sense of ethical criteria for practical problem-solving </w:t>
            </w:r>
          </w:p>
        </w:tc>
      </w:tr>
      <w:tr w:rsidR="00C50322" w:rsidRPr="00FA251A" w:rsidTr="007948CA">
        <w:tc>
          <w:tcPr>
            <w:tcW w:w="2405" w:type="dxa"/>
            <w:vMerge w:val="restart"/>
          </w:tcPr>
          <w:p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rsidR="00C50322" w:rsidRPr="00FA251A"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LO3.1. Students will demonstrate proficiency in common business software packages </w:t>
            </w:r>
          </w:p>
        </w:tc>
      </w:tr>
      <w:tr w:rsidR="00C50322" w:rsidTr="007948CA">
        <w:tc>
          <w:tcPr>
            <w:tcW w:w="2405" w:type="dxa"/>
            <w:vMerge/>
          </w:tcPr>
          <w:p w:rsidR="00C50322" w:rsidRPr="00194A85" w:rsidRDefault="00C50322" w:rsidP="007948CA">
            <w:pPr>
              <w:pStyle w:val="metod"/>
              <w:ind w:firstLine="0"/>
              <w:rPr>
                <w:rFonts w:ascii="Arial" w:hAnsi="Arial" w:cs="Arial"/>
                <w:sz w:val="18"/>
                <w:szCs w:val="18"/>
                <w:lang w:val="en-US"/>
              </w:rPr>
            </w:pPr>
          </w:p>
        </w:tc>
        <w:tc>
          <w:tcPr>
            <w:tcW w:w="7557" w:type="dxa"/>
          </w:tcPr>
          <w:p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LO3.2. Students will be able to make decisions using appropriate IT tools </w:t>
            </w:r>
          </w:p>
        </w:tc>
      </w:tr>
      <w:tr w:rsidR="00C50322" w:rsidTr="007948CA">
        <w:tc>
          <w:tcPr>
            <w:tcW w:w="2405" w:type="dxa"/>
            <w:vMerge w:val="restart"/>
          </w:tcPr>
          <w:p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LO4.</w:t>
            </w:r>
            <w:proofErr w:type="gramStart"/>
            <w:r w:rsidRPr="00194A85">
              <w:rPr>
                <w:rFonts w:ascii="Arial" w:hAnsi="Arial" w:cs="Arial"/>
                <w:sz w:val="18"/>
                <w:szCs w:val="18"/>
                <w:lang w:val="en-US"/>
              </w:rPr>
              <w:t>1.Students</w:t>
            </w:r>
            <w:proofErr w:type="gramEnd"/>
            <w:r w:rsidRPr="00194A85">
              <w:rPr>
                <w:rFonts w:ascii="Arial" w:hAnsi="Arial" w:cs="Arial"/>
                <w:sz w:val="18"/>
                <w:szCs w:val="18"/>
                <w:lang w:val="en-US"/>
              </w:rPr>
              <w:t xml:space="preserve"> will be able to communicate reasonably in different settings according to target audience tasks and situations </w:t>
            </w:r>
          </w:p>
        </w:tc>
      </w:tr>
      <w:tr w:rsidR="00C50322" w:rsidTr="007948CA">
        <w:tc>
          <w:tcPr>
            <w:tcW w:w="2405" w:type="dxa"/>
            <w:vMerge/>
          </w:tcPr>
          <w:p w:rsidR="00C50322" w:rsidRDefault="00C50322" w:rsidP="007948CA">
            <w:pPr>
              <w:pStyle w:val="metod"/>
              <w:ind w:firstLine="0"/>
              <w:jc w:val="both"/>
              <w:rPr>
                <w:rFonts w:ascii="Arial" w:hAnsi="Arial" w:cs="Arial"/>
                <w:b/>
                <w:sz w:val="18"/>
                <w:szCs w:val="18"/>
                <w:lang w:val="en-US"/>
              </w:rPr>
            </w:pPr>
          </w:p>
        </w:tc>
        <w:tc>
          <w:tcPr>
            <w:tcW w:w="7557" w:type="dxa"/>
          </w:tcPr>
          <w:p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LO4.</w:t>
            </w:r>
            <w:proofErr w:type="gramStart"/>
            <w:r w:rsidRPr="00194A85">
              <w:rPr>
                <w:rFonts w:ascii="Arial" w:hAnsi="Arial" w:cs="Arial"/>
                <w:sz w:val="18"/>
                <w:szCs w:val="18"/>
                <w:lang w:val="en-US"/>
              </w:rPr>
              <w:t>2.Students</w:t>
            </w:r>
            <w:proofErr w:type="gramEnd"/>
            <w:r w:rsidRPr="00194A85">
              <w:rPr>
                <w:rFonts w:ascii="Arial" w:hAnsi="Arial" w:cs="Arial"/>
                <w:sz w:val="18"/>
                <w:szCs w:val="18"/>
                <w:lang w:val="en-US"/>
              </w:rPr>
              <w:t xml:space="preserve"> will be able to convey their ideas effectively through an oral presentation </w:t>
            </w:r>
          </w:p>
        </w:tc>
      </w:tr>
      <w:tr w:rsidR="00C50322" w:rsidTr="007948CA">
        <w:tc>
          <w:tcPr>
            <w:tcW w:w="2405" w:type="dxa"/>
            <w:vMerge/>
          </w:tcPr>
          <w:p w:rsidR="00C50322" w:rsidRDefault="00C50322" w:rsidP="007948CA">
            <w:pPr>
              <w:pStyle w:val="metod"/>
              <w:ind w:firstLine="0"/>
              <w:jc w:val="both"/>
              <w:rPr>
                <w:rFonts w:ascii="Arial" w:hAnsi="Arial" w:cs="Arial"/>
                <w:b/>
                <w:sz w:val="18"/>
                <w:szCs w:val="18"/>
                <w:lang w:val="en-US"/>
              </w:rPr>
            </w:pPr>
          </w:p>
        </w:tc>
        <w:tc>
          <w:tcPr>
            <w:tcW w:w="7557" w:type="dxa"/>
          </w:tcPr>
          <w:p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LO4.3. Students will be able to convey their ideas effectively in a written paper </w:t>
            </w:r>
          </w:p>
        </w:tc>
      </w:tr>
    </w:tbl>
    <w:p w:rsidR="00C50322" w:rsidRPr="007C0E00" w:rsidRDefault="00C50322" w:rsidP="00C50322">
      <w:pPr>
        <w:pStyle w:val="metod"/>
        <w:ind w:firstLine="0"/>
        <w:jc w:val="both"/>
        <w:rPr>
          <w:rFonts w:ascii="Arial" w:hAnsi="Arial" w:cs="Arial"/>
          <w:sz w:val="18"/>
          <w:szCs w:val="18"/>
          <w:lang w:val="en-US"/>
        </w:rPr>
      </w:pPr>
    </w:p>
    <w:p w:rsidR="007B3D8B" w:rsidRPr="009C0B46" w:rsidRDefault="007B3D8B" w:rsidP="009C0B46">
      <w:pPr>
        <w:pStyle w:val="metod"/>
        <w:ind w:firstLine="0"/>
        <w:jc w:val="both"/>
        <w:rPr>
          <w:rFonts w:ascii="Arial" w:hAnsi="Arial" w:cs="Arial"/>
          <w:b/>
          <w:bCs/>
          <w:sz w:val="18"/>
          <w:szCs w:val="18"/>
          <w:lang w:val="en-US"/>
        </w:rPr>
      </w:pPr>
    </w:p>
    <w:sectPr w:rsidR="007B3D8B" w:rsidRPr="009C0B46" w:rsidSect="009C0B46">
      <w:headerReference w:type="default" r:id="rId7"/>
      <w:footerReference w:type="default" r:id="rId8"/>
      <w:pgSz w:w="11905" w:h="16837"/>
      <w:pgMar w:top="1418" w:right="1134" w:bottom="1134" w:left="1134" w:header="709" w:footer="709"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7935" w:rsidRDefault="002A7935">
      <w:r>
        <w:separator/>
      </w:r>
    </w:p>
  </w:endnote>
  <w:endnote w:type="continuationSeparator" w:id="0">
    <w:p w:rsidR="002A7935" w:rsidRDefault="002A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DejaVu Sans">
    <w:panose1 w:val="020B0604020202020204"/>
    <w:charset w:val="00"/>
    <w:family w:val="auto"/>
    <w:pitch w:val="variable"/>
  </w:font>
  <w:font w:name="Arial Narrow">
    <w:panose1 w:val="020B0606020202030204"/>
    <w:charset w:val="00"/>
    <w:family w:val="swiss"/>
    <w:pitch w:val="variable"/>
    <w:sig w:usb0="00000287" w:usb1="00000800" w:usb2="00000000" w:usb3="00000000" w:csb0="0000009F" w:csb1="00000000"/>
  </w:font>
  <w:font w:name="ArialMT">
    <w:panose1 w:val="020B06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1FF8" w:rsidRPr="009C0B46" w:rsidRDefault="003D1FF8">
    <w:pPr>
      <w:pStyle w:val="Footer"/>
      <w:jc w:val="right"/>
      <w:rPr>
        <w:rFonts w:ascii="Arial" w:hAnsi="Arial" w:cs="Arial"/>
        <w:sz w:val="18"/>
        <w:szCs w:val="18"/>
      </w:rPr>
    </w:pPr>
    <w:r w:rsidRPr="009C0B46">
      <w:rPr>
        <w:rFonts w:ascii="Arial" w:hAnsi="Arial" w:cs="Arial"/>
        <w:sz w:val="18"/>
        <w:szCs w:val="18"/>
      </w:rPr>
      <w:fldChar w:fldCharType="begin"/>
    </w:r>
    <w:r w:rsidRPr="009C0B46">
      <w:rPr>
        <w:rFonts w:ascii="Arial" w:hAnsi="Arial" w:cs="Arial"/>
        <w:sz w:val="18"/>
        <w:szCs w:val="18"/>
      </w:rPr>
      <w:instrText xml:space="preserve"> PAGE   \* MERGEFORMAT </w:instrText>
    </w:r>
    <w:r w:rsidRPr="009C0B46">
      <w:rPr>
        <w:rFonts w:ascii="Arial" w:hAnsi="Arial" w:cs="Arial"/>
        <w:sz w:val="18"/>
        <w:szCs w:val="18"/>
      </w:rPr>
      <w:fldChar w:fldCharType="separate"/>
    </w:r>
    <w:r w:rsidR="00D16697">
      <w:rPr>
        <w:rFonts w:ascii="Arial" w:hAnsi="Arial" w:cs="Arial"/>
        <w:noProof/>
        <w:sz w:val="18"/>
        <w:szCs w:val="18"/>
      </w:rPr>
      <w:t>2</w:t>
    </w:r>
    <w:r w:rsidRPr="009C0B46">
      <w:rPr>
        <w:rFonts w:ascii="Arial" w:hAnsi="Arial" w:cs="Arial"/>
        <w:noProof/>
        <w:sz w:val="18"/>
        <w:szCs w:val="18"/>
      </w:rPr>
      <w:fldChar w:fldCharType="end"/>
    </w:r>
  </w:p>
  <w:p w:rsidR="003D1FF8" w:rsidRDefault="003D1F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7935" w:rsidRDefault="002A7935">
      <w:r>
        <w:separator/>
      </w:r>
    </w:p>
  </w:footnote>
  <w:footnote w:type="continuationSeparator" w:id="0">
    <w:p w:rsidR="002A7935" w:rsidRDefault="002A7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1FF8" w:rsidRDefault="00C50322">
    <w:pPr>
      <w:pStyle w:val="Header"/>
    </w:pPr>
    <w:r>
      <w:rPr>
        <w:noProof/>
      </w:rPr>
      <w:drawing>
        <wp:inline distT="0" distB="0" distL="0" distR="0">
          <wp:extent cx="534670" cy="53467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670" cy="53467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FA6A1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B26423"/>
    <w:multiLevelType w:val="hybridMultilevel"/>
    <w:tmpl w:val="B7E43D9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B478B4"/>
    <w:multiLevelType w:val="hybridMultilevel"/>
    <w:tmpl w:val="F238E3BE"/>
    <w:lvl w:ilvl="0" w:tplc="B448CBC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4D545B"/>
    <w:multiLevelType w:val="hybridMultilevel"/>
    <w:tmpl w:val="C1BCC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7D7D88"/>
    <w:multiLevelType w:val="hybridMultilevel"/>
    <w:tmpl w:val="2C7612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1939658">
    <w:abstractNumId w:val="1"/>
  </w:num>
  <w:num w:numId="2" w16cid:durableId="1573271282">
    <w:abstractNumId w:val="2"/>
  </w:num>
  <w:num w:numId="3" w16cid:durableId="830364401">
    <w:abstractNumId w:val="4"/>
  </w:num>
  <w:num w:numId="4" w16cid:durableId="290132278">
    <w:abstractNumId w:val="3"/>
  </w:num>
  <w:num w:numId="5" w16cid:durableId="1906329925">
    <w:abstractNumId w:val="0"/>
  </w:num>
  <w:num w:numId="6" w16cid:durableId="21014833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oNotDisplayPageBoundaries/>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69D"/>
    <w:rsid w:val="0003689E"/>
    <w:rsid w:val="0005210F"/>
    <w:rsid w:val="000663C5"/>
    <w:rsid w:val="00102F4F"/>
    <w:rsid w:val="001103D5"/>
    <w:rsid w:val="00110D4E"/>
    <w:rsid w:val="00132EA6"/>
    <w:rsid w:val="00154CBA"/>
    <w:rsid w:val="00182EE7"/>
    <w:rsid w:val="00276FB0"/>
    <w:rsid w:val="002A7935"/>
    <w:rsid w:val="002B49DC"/>
    <w:rsid w:val="00351347"/>
    <w:rsid w:val="003538F9"/>
    <w:rsid w:val="00373B93"/>
    <w:rsid w:val="003751FA"/>
    <w:rsid w:val="00386F94"/>
    <w:rsid w:val="003D1FF8"/>
    <w:rsid w:val="003D7DEB"/>
    <w:rsid w:val="0048457B"/>
    <w:rsid w:val="00493FE2"/>
    <w:rsid w:val="004B26D9"/>
    <w:rsid w:val="004D4AD0"/>
    <w:rsid w:val="004E41F0"/>
    <w:rsid w:val="004F21B0"/>
    <w:rsid w:val="0052267E"/>
    <w:rsid w:val="005274F1"/>
    <w:rsid w:val="00554F10"/>
    <w:rsid w:val="00556888"/>
    <w:rsid w:val="0056691F"/>
    <w:rsid w:val="0059616A"/>
    <w:rsid w:val="005A702B"/>
    <w:rsid w:val="005C6425"/>
    <w:rsid w:val="005D7929"/>
    <w:rsid w:val="00661347"/>
    <w:rsid w:val="00690A98"/>
    <w:rsid w:val="006E5A65"/>
    <w:rsid w:val="00781D37"/>
    <w:rsid w:val="00791ED1"/>
    <w:rsid w:val="007A318D"/>
    <w:rsid w:val="007B3D8B"/>
    <w:rsid w:val="007C0913"/>
    <w:rsid w:val="007C75DC"/>
    <w:rsid w:val="00801F77"/>
    <w:rsid w:val="0083693F"/>
    <w:rsid w:val="008440AE"/>
    <w:rsid w:val="00844E85"/>
    <w:rsid w:val="00857A5C"/>
    <w:rsid w:val="00863716"/>
    <w:rsid w:val="00877770"/>
    <w:rsid w:val="0088712F"/>
    <w:rsid w:val="008B40AB"/>
    <w:rsid w:val="00961CB4"/>
    <w:rsid w:val="0097248E"/>
    <w:rsid w:val="009A596A"/>
    <w:rsid w:val="009B18B1"/>
    <w:rsid w:val="009C0B46"/>
    <w:rsid w:val="009C3567"/>
    <w:rsid w:val="00A3618A"/>
    <w:rsid w:val="00A3779F"/>
    <w:rsid w:val="00A57222"/>
    <w:rsid w:val="00A91BA9"/>
    <w:rsid w:val="00AC6698"/>
    <w:rsid w:val="00AF3EFA"/>
    <w:rsid w:val="00B00612"/>
    <w:rsid w:val="00B05039"/>
    <w:rsid w:val="00B17C52"/>
    <w:rsid w:val="00B360E5"/>
    <w:rsid w:val="00B41D70"/>
    <w:rsid w:val="00B45442"/>
    <w:rsid w:val="00B53DF5"/>
    <w:rsid w:val="00B73B0A"/>
    <w:rsid w:val="00B8517E"/>
    <w:rsid w:val="00B97B11"/>
    <w:rsid w:val="00BB59F2"/>
    <w:rsid w:val="00BC0FBE"/>
    <w:rsid w:val="00BD3ADB"/>
    <w:rsid w:val="00BE390A"/>
    <w:rsid w:val="00C32D66"/>
    <w:rsid w:val="00C37ADC"/>
    <w:rsid w:val="00C50322"/>
    <w:rsid w:val="00C53FB9"/>
    <w:rsid w:val="00CC07B0"/>
    <w:rsid w:val="00CD4A77"/>
    <w:rsid w:val="00D07D6B"/>
    <w:rsid w:val="00D16697"/>
    <w:rsid w:val="00D16B29"/>
    <w:rsid w:val="00D5040B"/>
    <w:rsid w:val="00D6480C"/>
    <w:rsid w:val="00DA3653"/>
    <w:rsid w:val="00DB01F2"/>
    <w:rsid w:val="00DB1E18"/>
    <w:rsid w:val="00DC3381"/>
    <w:rsid w:val="00DD1F6D"/>
    <w:rsid w:val="00DD56E7"/>
    <w:rsid w:val="00DF11DD"/>
    <w:rsid w:val="00E0191B"/>
    <w:rsid w:val="00E4622C"/>
    <w:rsid w:val="00EA2871"/>
    <w:rsid w:val="00EB3409"/>
    <w:rsid w:val="00EB6CC4"/>
    <w:rsid w:val="00EB769D"/>
    <w:rsid w:val="00ED0102"/>
    <w:rsid w:val="00EF0984"/>
    <w:rsid w:val="00F1308D"/>
    <w:rsid w:val="00F15485"/>
    <w:rsid w:val="00F20D53"/>
    <w:rsid w:val="00F43980"/>
    <w:rsid w:val="00F52239"/>
    <w:rsid w:val="00F66DBE"/>
    <w:rsid w:val="00F7622A"/>
    <w:rsid w:val="00FF4A1F"/>
    <w:rsid w:val="00FF7383"/>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7594A8"/>
  <w15:chartTrackingRefBased/>
  <w15:docId w15:val="{BA54239A-0AC4-674F-9C4F-6D72168C6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pPr>
      <w:suppressAutoHyphens/>
    </w:pPr>
    <w:rPr>
      <w:sz w:val="24"/>
      <w:szCs w:val="24"/>
      <w:lang w:val="en-GB" w:eastAsia="ar-SA"/>
    </w:rPr>
  </w:style>
  <w:style w:type="paragraph" w:styleId="Heading1">
    <w:name w:val="heading 1"/>
    <w:basedOn w:val="Normal"/>
    <w:next w:val="Normal"/>
    <w:qFormat/>
    <w:pPr>
      <w:keepNext/>
      <w:widowControl w:val="0"/>
      <w:numPr>
        <w:numId w:val="1"/>
      </w:numPr>
      <w:autoSpaceDE w:val="0"/>
      <w:jc w:val="both"/>
      <w:outlineLvl w:val="0"/>
    </w:pPr>
    <w:rPr>
      <w:u w:val="single"/>
      <w:lang w:val="en-US"/>
    </w:rPr>
  </w:style>
  <w:style w:type="paragraph" w:styleId="Heading3">
    <w:name w:val="heading 3"/>
    <w:basedOn w:val="Normal"/>
    <w:next w:val="Normal"/>
    <w:qFormat/>
    <w:pPr>
      <w:keepNext/>
      <w:numPr>
        <w:ilvl w:val="2"/>
        <w:numId w:val="1"/>
      </w:numPr>
      <w:outlineLvl w:val="2"/>
    </w:pPr>
    <w:rPr>
      <w:rFonts w:ascii="Arial" w:hAnsi="Arial" w:cs="Arial"/>
      <w:bCs/>
      <w:i/>
      <w:iCs/>
      <w:sz w:val="18"/>
      <w:lang w:val="lt-LT"/>
    </w:rPr>
  </w:style>
  <w:style w:type="paragraph" w:styleId="Heading4">
    <w:name w:val="heading 4"/>
    <w:basedOn w:val="Normal"/>
    <w:next w:val="Normal"/>
    <w:qFormat/>
    <w:pPr>
      <w:keepNext/>
      <w:numPr>
        <w:ilvl w:val="3"/>
        <w:numId w:val="1"/>
      </w:numPr>
      <w:jc w:val="both"/>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DefaultParagraphFont">
    <w:name w:val="WW-Default Paragraph Font"/>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DefaultParagraphFont1">
    <w:name w:val="WW-Default Paragraph Font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DefaultParagraphFont11">
    <w:name w:val="WW-Default Paragraph Font11"/>
  </w:style>
  <w:style w:type="character" w:customStyle="1" w:styleId="BodyTextChar">
    <w:name w:val="Body Text Char"/>
    <w:rPr>
      <w:rFonts w:ascii="Garamond" w:hAnsi="Garamond"/>
      <w:sz w:val="22"/>
      <w:szCs w:val="24"/>
      <w:lang w:val="lt-LT" w:eastAsia="ar-SA" w:bidi="ar-SA"/>
    </w:rPr>
  </w:style>
  <w:style w:type="character" w:customStyle="1" w:styleId="Bolds">
    <w:name w:val="Bolds"/>
    <w:rPr>
      <w:b/>
      <w:lang w:val="en-US"/>
    </w:rPr>
  </w:style>
  <w:style w:type="character" w:customStyle="1" w:styleId="Italic">
    <w:name w:val="Italic"/>
    <w:rPr>
      <w:i/>
      <w:iCs/>
      <w:lang w:val="en-US"/>
    </w:rPr>
  </w:style>
  <w:style w:type="character" w:styleId="Hyperlink">
    <w:name w:val="Hyperlink"/>
    <w:rPr>
      <w:color w:val="000080"/>
      <w:u w:val="single"/>
    </w:rPr>
  </w:style>
  <w:style w:type="character" w:styleId="FollowedHyperlink">
    <w:name w:val="FollowedHyperlink"/>
    <w:rPr>
      <w:color w:val="8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DejaVu Sans" w:hAnsi="Arial" w:cs="DejaVu Sans"/>
      <w:sz w:val="28"/>
      <w:szCs w:val="28"/>
    </w:rPr>
  </w:style>
  <w:style w:type="paragraph" w:styleId="BodyText">
    <w:name w:val="Body Text"/>
    <w:basedOn w:val="Normal"/>
    <w:pPr>
      <w:tabs>
        <w:tab w:val="left" w:pos="2835"/>
        <w:tab w:val="left" w:pos="5103"/>
      </w:tabs>
      <w:jc w:val="both"/>
    </w:pPr>
    <w:rPr>
      <w:rFonts w:ascii="Garamond" w:hAnsi="Garamond"/>
      <w:sz w:val="22"/>
      <w:lang w:val="lt-LT"/>
    </w:r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Head">
    <w:name w:val="Head"/>
    <w:basedOn w:val="Normal"/>
    <w:pPr>
      <w:widowControl w:val="0"/>
      <w:autoSpaceDE w:val="0"/>
      <w:spacing w:before="180" w:after="60"/>
      <w:jc w:val="both"/>
    </w:pPr>
    <w:rPr>
      <w:b/>
      <w:sz w:val="22"/>
      <w:szCs w:val="20"/>
      <w:lang w:val="en-US"/>
    </w:rPr>
  </w:style>
  <w:style w:type="paragraph" w:customStyle="1" w:styleId="Text">
    <w:name w:val="Text"/>
    <w:basedOn w:val="Normal"/>
    <w:pPr>
      <w:spacing w:after="120" w:line="288" w:lineRule="atLeast"/>
      <w:jc w:val="both"/>
    </w:pPr>
    <w:rPr>
      <w:sz w:val="22"/>
      <w:lang w:val="en-US"/>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paragraph" w:customStyle="1" w:styleId="Parameters">
    <w:name w:val="Parameters"/>
    <w:basedOn w:val="Normal"/>
    <w:pPr>
      <w:tabs>
        <w:tab w:val="left" w:pos="-2876"/>
      </w:tabs>
      <w:spacing w:before="60" w:after="60"/>
      <w:ind w:left="4820" w:hanging="4820"/>
    </w:pPr>
    <w:rPr>
      <w:sz w:val="22"/>
      <w:lang w:val="en-US"/>
    </w:rPr>
  </w:style>
  <w:style w:type="paragraph" w:styleId="Title">
    <w:name w:val="Title"/>
    <w:basedOn w:val="Normal"/>
    <w:next w:val="Subtitle"/>
    <w:qFormat/>
    <w:pPr>
      <w:pageBreakBefore/>
      <w:widowControl w:val="0"/>
      <w:autoSpaceDE w:val="0"/>
      <w:spacing w:after="360"/>
      <w:jc w:val="center"/>
    </w:pPr>
    <w:rPr>
      <w:b/>
      <w:bCs/>
      <w:caps/>
      <w:sz w:val="22"/>
      <w:szCs w:val="20"/>
      <w:lang w:val="en-US"/>
    </w:rPr>
  </w:style>
  <w:style w:type="paragraph" w:styleId="Subtitle">
    <w:name w:val="Subtitle"/>
    <w:basedOn w:val="Normal"/>
    <w:next w:val="BodyText"/>
    <w:qFormat/>
    <w:pPr>
      <w:jc w:val="both"/>
    </w:pPr>
    <w:rPr>
      <w:i/>
      <w:sz w:val="20"/>
      <w:szCs w:val="20"/>
      <w:lang w:val="lt-LT"/>
    </w:rPr>
  </w:style>
  <w:style w:type="paragraph" w:customStyle="1" w:styleId="Cellcenter">
    <w:name w:val="Cell_center"/>
    <w:basedOn w:val="Normal"/>
    <w:pPr>
      <w:jc w:val="center"/>
    </w:pPr>
    <w:rPr>
      <w:rFonts w:ascii="Arial Narrow" w:hAnsi="Arial Narrow"/>
      <w:bCs/>
      <w:caps/>
      <w:sz w:val="22"/>
      <w:lang w:val="en-US"/>
    </w:rPr>
  </w:style>
  <w:style w:type="paragraph" w:customStyle="1" w:styleId="Cellleft">
    <w:name w:val="Cell_left"/>
    <w:basedOn w:val="Normal"/>
    <w:pPr>
      <w:ind w:left="34"/>
    </w:pPr>
    <w:rPr>
      <w:rFonts w:ascii="Arial Narrow" w:hAnsi="Arial Narrow"/>
      <w:sz w:val="22"/>
      <w:lang w:val="en-US"/>
    </w:rPr>
  </w:style>
  <w:style w:type="paragraph" w:styleId="BlockText">
    <w:name w:val="Block Text"/>
    <w:basedOn w:val="Normal"/>
    <w:pPr>
      <w:spacing w:after="120"/>
      <w:ind w:left="1440" w:right="1440"/>
    </w:pPr>
  </w:style>
  <w:style w:type="paragraph" w:customStyle="1" w:styleId="metod">
    <w:name w:val="metod"/>
    <w:basedOn w:val="BlockText"/>
    <w:pPr>
      <w:spacing w:after="0"/>
      <w:ind w:left="0" w:right="0" w:firstLine="567"/>
    </w:pPr>
    <w:rPr>
      <w:szCs w:val="20"/>
      <w:lang w:val="lt-LT"/>
    </w:rPr>
  </w:style>
  <w:style w:type="paragraph" w:customStyle="1" w:styleId="Source">
    <w:name w:val="Source"/>
    <w:basedOn w:val="Normal"/>
    <w:pPr>
      <w:spacing w:after="60"/>
    </w:pPr>
    <w:rPr>
      <w:sz w:val="22"/>
      <w:szCs w:val="20"/>
      <w:lang w:val="lt-LT"/>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odyTextIndent">
    <w:name w:val="Body Text Indent"/>
    <w:basedOn w:val="Normal"/>
    <w:pPr>
      <w:widowControl w:val="0"/>
      <w:autoSpaceDE w:val="0"/>
      <w:ind w:left="720"/>
      <w:jc w:val="both"/>
    </w:pPr>
    <w:rPr>
      <w:rFonts w:ascii="Garamond" w:hAnsi="Garamond"/>
      <w:sz w:val="22"/>
      <w:szCs w:val="20"/>
      <w:lang w:val="lt-LT"/>
    </w:rPr>
  </w:style>
  <w:style w:type="character" w:customStyle="1" w:styleId="WW8Num35z4">
    <w:name w:val="WW8Num35z4"/>
    <w:rsid w:val="005A702B"/>
    <w:rPr>
      <w:rFonts w:ascii="Courier New" w:hAnsi="Courier New" w:cs="ArialMT"/>
    </w:rPr>
  </w:style>
  <w:style w:type="character" w:styleId="CommentReference">
    <w:name w:val="annotation reference"/>
    <w:uiPriority w:val="99"/>
    <w:semiHidden/>
    <w:unhideWhenUsed/>
    <w:rsid w:val="00F20D53"/>
    <w:rPr>
      <w:sz w:val="16"/>
      <w:szCs w:val="16"/>
    </w:rPr>
  </w:style>
  <w:style w:type="paragraph" w:styleId="CommentText">
    <w:name w:val="annotation text"/>
    <w:basedOn w:val="Normal"/>
    <w:link w:val="CommentTextChar"/>
    <w:uiPriority w:val="99"/>
    <w:semiHidden/>
    <w:unhideWhenUsed/>
    <w:rsid w:val="00F20D53"/>
    <w:rPr>
      <w:sz w:val="20"/>
      <w:szCs w:val="20"/>
    </w:rPr>
  </w:style>
  <w:style w:type="character" w:customStyle="1" w:styleId="CommentTextChar">
    <w:name w:val="Comment Text Char"/>
    <w:link w:val="CommentText"/>
    <w:uiPriority w:val="99"/>
    <w:semiHidden/>
    <w:rsid w:val="00F20D53"/>
    <w:rPr>
      <w:lang w:val="en-GB" w:eastAsia="ar-SA"/>
    </w:rPr>
  </w:style>
  <w:style w:type="paragraph" w:styleId="CommentSubject">
    <w:name w:val="annotation subject"/>
    <w:basedOn w:val="CommentText"/>
    <w:next w:val="CommentText"/>
    <w:link w:val="CommentSubjectChar"/>
    <w:uiPriority w:val="99"/>
    <w:semiHidden/>
    <w:unhideWhenUsed/>
    <w:rsid w:val="00F20D53"/>
    <w:rPr>
      <w:b/>
      <w:bCs/>
    </w:rPr>
  </w:style>
  <w:style w:type="character" w:customStyle="1" w:styleId="CommentSubjectChar">
    <w:name w:val="Comment Subject Char"/>
    <w:link w:val="CommentSubject"/>
    <w:uiPriority w:val="99"/>
    <w:semiHidden/>
    <w:rsid w:val="00F20D53"/>
    <w:rPr>
      <w:b/>
      <w:bCs/>
      <w:lang w:val="en-GB" w:eastAsia="ar-SA"/>
    </w:rPr>
  </w:style>
  <w:style w:type="paragraph" w:styleId="BalloonText">
    <w:name w:val="Balloon Text"/>
    <w:basedOn w:val="Normal"/>
    <w:link w:val="BalloonTextChar"/>
    <w:uiPriority w:val="99"/>
    <w:semiHidden/>
    <w:unhideWhenUsed/>
    <w:rsid w:val="00F20D53"/>
    <w:rPr>
      <w:rFonts w:ascii="Tahoma" w:hAnsi="Tahoma"/>
      <w:sz w:val="16"/>
      <w:szCs w:val="16"/>
    </w:rPr>
  </w:style>
  <w:style w:type="character" w:customStyle="1" w:styleId="BalloonTextChar">
    <w:name w:val="Balloon Text Char"/>
    <w:link w:val="BalloonText"/>
    <w:uiPriority w:val="99"/>
    <w:semiHidden/>
    <w:rsid w:val="00F20D53"/>
    <w:rPr>
      <w:rFonts w:ascii="Tahoma" w:hAnsi="Tahoma" w:cs="Tahoma"/>
      <w:sz w:val="16"/>
      <w:szCs w:val="16"/>
      <w:lang w:val="en-GB" w:eastAsia="ar-SA"/>
    </w:rPr>
  </w:style>
  <w:style w:type="paragraph" w:styleId="NormalWeb">
    <w:name w:val="Normal (Web)"/>
    <w:basedOn w:val="Normal"/>
    <w:uiPriority w:val="99"/>
    <w:semiHidden/>
    <w:unhideWhenUsed/>
    <w:rsid w:val="004D4AD0"/>
    <w:pPr>
      <w:suppressAutoHyphens w:val="0"/>
      <w:spacing w:before="100" w:beforeAutospacing="1" w:after="100" w:afterAutospacing="1"/>
    </w:pPr>
    <w:rPr>
      <w:lang w:val="en-US" w:eastAsia="en-US"/>
    </w:rPr>
  </w:style>
  <w:style w:type="character" w:customStyle="1" w:styleId="FooterChar">
    <w:name w:val="Footer Char"/>
    <w:link w:val="Footer"/>
    <w:uiPriority w:val="99"/>
    <w:rsid w:val="009C0B46"/>
    <w:rPr>
      <w:sz w:val="24"/>
      <w:szCs w:val="24"/>
      <w:lang w:val="en-GB" w:eastAsia="ar-SA"/>
    </w:rPr>
  </w:style>
  <w:style w:type="table" w:styleId="TableGrid">
    <w:name w:val="Table Grid"/>
    <w:basedOn w:val="TableNormal"/>
    <w:uiPriority w:val="59"/>
    <w:rsid w:val="00C50322"/>
    <w:rPr>
      <w:rFonts w:ascii="Calibri" w:hAnsi="Calibri"/>
      <w:lang w:val="en-GB"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182EE7"/>
    <w:pPr>
      <w:suppressAutoHyphens w:val="0"/>
      <w:spacing w:after="200" w:line="276" w:lineRule="auto"/>
      <w:ind w:left="720"/>
      <w:contextualSpacing/>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4939">
      <w:bodyDiv w:val="1"/>
      <w:marLeft w:val="0"/>
      <w:marRight w:val="0"/>
      <w:marTop w:val="0"/>
      <w:marBottom w:val="0"/>
      <w:divBdr>
        <w:top w:val="none" w:sz="0" w:space="0" w:color="auto"/>
        <w:left w:val="none" w:sz="0" w:space="0" w:color="auto"/>
        <w:bottom w:val="none" w:sz="0" w:space="0" w:color="auto"/>
        <w:right w:val="none" w:sz="0" w:space="0" w:color="auto"/>
      </w:divBdr>
    </w:div>
    <w:div w:id="231738045">
      <w:bodyDiv w:val="1"/>
      <w:marLeft w:val="0"/>
      <w:marRight w:val="0"/>
      <w:marTop w:val="0"/>
      <w:marBottom w:val="0"/>
      <w:divBdr>
        <w:top w:val="none" w:sz="0" w:space="0" w:color="auto"/>
        <w:left w:val="none" w:sz="0" w:space="0" w:color="auto"/>
        <w:bottom w:val="none" w:sz="0" w:space="0" w:color="auto"/>
        <w:right w:val="none" w:sz="0" w:space="0" w:color="auto"/>
      </w:divBdr>
    </w:div>
    <w:div w:id="444155346">
      <w:bodyDiv w:val="1"/>
      <w:marLeft w:val="0"/>
      <w:marRight w:val="0"/>
      <w:marTop w:val="0"/>
      <w:marBottom w:val="0"/>
      <w:divBdr>
        <w:top w:val="none" w:sz="0" w:space="0" w:color="auto"/>
        <w:left w:val="none" w:sz="0" w:space="0" w:color="auto"/>
        <w:bottom w:val="none" w:sz="0" w:space="0" w:color="auto"/>
        <w:right w:val="none" w:sz="0" w:space="0" w:color="auto"/>
      </w:divBdr>
    </w:div>
    <w:div w:id="1234202619">
      <w:bodyDiv w:val="1"/>
      <w:marLeft w:val="0"/>
      <w:marRight w:val="0"/>
      <w:marTop w:val="0"/>
      <w:marBottom w:val="0"/>
      <w:divBdr>
        <w:top w:val="none" w:sz="0" w:space="0" w:color="auto"/>
        <w:left w:val="none" w:sz="0" w:space="0" w:color="auto"/>
        <w:bottom w:val="none" w:sz="0" w:space="0" w:color="auto"/>
        <w:right w:val="none" w:sz="0" w:space="0" w:color="auto"/>
      </w:divBdr>
    </w:div>
    <w:div w:id="1529296530">
      <w:bodyDiv w:val="1"/>
      <w:marLeft w:val="0"/>
      <w:marRight w:val="0"/>
      <w:marTop w:val="0"/>
      <w:marBottom w:val="0"/>
      <w:divBdr>
        <w:top w:val="none" w:sz="0" w:space="0" w:color="auto"/>
        <w:left w:val="none" w:sz="0" w:space="0" w:color="auto"/>
        <w:bottom w:val="none" w:sz="0" w:space="0" w:color="auto"/>
        <w:right w:val="none" w:sz="0" w:space="0" w:color="auto"/>
      </w:divBdr>
    </w:div>
    <w:div w:id="178834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TIME</vt:lpstr>
    </vt:vector>
  </TitlesOfParts>
  <Company>ISM</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dc:title>
  <dc:subject/>
  <dc:creator>Aras Zirgulis</dc:creator>
  <cp:keywords/>
  <cp:lastModifiedBy>Microsoft Office User</cp:lastModifiedBy>
  <cp:revision>3</cp:revision>
  <cp:lastPrinted>2023-02-02T20:57:00Z</cp:lastPrinted>
  <dcterms:created xsi:type="dcterms:W3CDTF">2023-02-02T20:57:00Z</dcterms:created>
  <dcterms:modified xsi:type="dcterms:W3CDTF">2023-02-02T20:58:00Z</dcterms:modified>
</cp:coreProperties>
</file>